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Court ruling highlights issues of accountability in local governance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High Court ruling has brought to light the troubling intersection of accountability and reckless accusation in local governance, casting a disparaging shadow on the actions of former Fleggburgh parish councillor Andrew Peake. Following his scathing attacks on village clerk Dr. James Miller, Peake has been ordered to pay £20,000 in libel damages, a decision that raises serious questions about the conduct of those in positions of power—a critique that resonates strongly with many concerned citizens who advocate for transparent and responsible governance.</w:t>
      </w:r>
    </w:p>
    <w:p>
      <w:r>
        <w:t>The case unfolded in the rural village of Fleggburgh, but it reflects broader issues within local councils across the UK. Peake's outlandish claims on his Facebook page, “Fleggburgh Eye,” where he labelled Dr. Miller as "dishonest, scheming, devious and threatening," underscore a trend that many right-minded individuals fear: the erosion of trust in public officials and the reckless use of social media platforms to air grievances that should be handled with integrity.</w:t>
      </w:r>
    </w:p>
    <w:p>
      <w:r>
        <w:t>A notable aspect of this case is the manner in which Mr. Peake’s dubious allegations have become emblematic of a wider malaise in local governance, where a lack of transparency and accountability allows for the proliferation of baseless claims. The new Labour government's approach to local councils has often been criticized as enabling a culture where personal vendettas can overshadow genuine governance issues, making it imperative that our communities hold their representatives to higher standards.</w:t>
      </w:r>
    </w:p>
    <w:p>
      <w:r>
        <w:t>Judge Richard Parkes KC dismissed Peake's baseless claims, revealing a granular look at how misinformation can fester in tight-knit communities. The judge’s characterization of Peake's allegations as unfounded and rooted in personal animosity should serve as a stark warning to others who use similar tactics. Being described as someone who views issues in binary terms raises concerns about the very nature of political discourse—one that should be fostered through civil debate rather than incendiary social media posts.</w:t>
      </w:r>
    </w:p>
    <w:p>
      <w:r>
        <w:t>The judge concluded that Dr. Miller, a Cambridge-educated economist, delivered commendable service to the community, and importantly—without taking extra pay for additional hours worked. This serves as a reminder that diligent public servants exist, despite the narrative perpetuated by those looking to gain political traction through sensationalism. The ruling illustrates a crucial need for structures that genuinely support accountability rather than promoting divisive rhetoric that distracts from the real issues at hand.</w:t>
      </w:r>
    </w:p>
    <w:p>
      <w:r>
        <w:t>Peake's insistence that he acted in the interest of exposing misconduct reveals a disconcerting trend, where self-proclaimed vigilantes muddy the waters of legitimate inquiry. As he insists on continuing his activities under the guise of accountability, it raises pertinent questions about how best to ensure local governance remains robust and transparent without descending into a battleground of personal attacks and unfounded claims.</w:t>
      </w:r>
    </w:p>
    <w:p>
      <w:r>
        <w:t>In light of the consequences that have arisen from Peake's actions, it is vital for communities to advocate for a political framework that values responsible communication and holds public officials accountable to an ethical standard. The recent election results show a fragmentation of traditional party politics, highlighting the need for a coalition of citizens ready to confront such misconduct with clarity and purpose. As the new Labour government embarks on its legislative agenda, it would serve them well to heed the lessons from this case, ensuring that they foster an environment that champions integrity and transparency, rather than allowing divisive tactics to continue to undermine public trust.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https://www.independent.co.uk/news/uk/home-news/fleggburgh-council-meeting-andrew-peake-b2708522.html</w:t>
        </w:r>
      </w:hyperlink>
      <w:r>
        <w:t xml:space="preserve"> - This article corroborates the High Court ruling against Andrew Peake, detailing his libel case and the £20,000 damages awarded to Dr. James Miller. It highlights the use of social media in spreading defamatory content and the judge's findings on Peake's allegations.</w:t>
      </w:r>
    </w:p>
    <w:p>
      <w:pPr>
        <w:pStyle w:val="ListBullet"/>
      </w:pPr>
      <w:hyperlink r:id="rId11">
        <w:r>
          <w:rPr>
            <w:u w:val="single"/>
            <w:color w:val="0000FF"/>
            <w:rStyle w:val="Hyperlink"/>
          </w:rPr>
          <w:t>https://www.independent.co.uk/news/uk/home-news/fleggburgh-council-meeting-andrew-peake-b2708522.html</w:t>
        </w:r>
      </w:hyperlink>
      <w:r>
        <w:t xml:space="preserve"> - This source further explains the context of the case, including Peake's claims against Dr. Miller and the judge's assessment of Peake's behavior as driven by personal dislike.</w:t>
      </w:r>
    </w:p>
    <w:p>
      <w:pPr>
        <w:pStyle w:val="ListBullet"/>
      </w:pPr>
      <w:hyperlink r:id="rId12">
        <w:r>
          <w:rPr>
            <w:u w:val="single"/>
            <w:color w:val="0000FF"/>
            <w:rStyle w:val="Hyperlink"/>
          </w:rPr>
          <w:t>https://www.swlaw.edu/sites/default/files/2020-06/CRIMINAL%20DEFAMATION-%20STILL%20%E2%80%9CAN%20INSTRUMENT%20OF%20DESTRUCTION%E2%80%9D%20IN%20THE%20AGE%20OF%20FAKE%20NEWS.pdf</w:t>
        </w:r>
      </w:hyperlink>
      <w:r>
        <w:t xml:space="preserve"> - This document discusses the broader implications of defamation laws, highlighting how they can impact public discourse and the challenges of balancing free speech with protection against false information.</w:t>
      </w:r>
    </w:p>
    <w:p>
      <w:pPr>
        <w:pStyle w:val="ListBullet"/>
      </w:pPr>
      <w:hyperlink r:id="rId12">
        <w:r>
          <w:rPr>
            <w:u w:val="single"/>
            <w:color w:val="0000FF"/>
            <w:rStyle w:val="Hyperlink"/>
          </w:rPr>
          <w:t>https://www.swlaw.edu/sites/default/files/2020-06/CRIMINAL%20DEFAMATION-%20STILL%20%E2%80%9CAN%20INSTRUMENT%20OF%20DESTRUCTION%E2%80%9D%20IN%20THE%20AGE%20OF%20FAKE%20NEWS.pdf</w:t>
        </w:r>
      </w:hyperlink>
      <w:r>
        <w:t xml:space="preserve"> - It provides insight into how criminal defamation laws have evolved, particularly in the context of public figures and the challenges posed by social media.</w:t>
      </w:r>
    </w:p>
    <w:p>
      <w:pPr>
        <w:pStyle w:val="ListBullet"/>
      </w:pPr>
      <w:hyperlink r:id="rId13">
        <w:r>
          <w:rPr>
            <w:u w:val="single"/>
            <w:color w:val="0000FF"/>
            <w:rStyle w:val="Hyperlink"/>
          </w:rPr>
          <w:t>https://www.federalregister.gov/documents/2023/10/05/2023-21078/guidance-for-grants-and-agreements</w:t>
        </w:r>
      </w:hyperlink>
      <w:r>
        <w:t xml:space="preserve"> - Although not directly related to the case, this document from the Federal Register discusses governance and accountability in a broader sense, highlighting the importance of transparency in public administration.</w:t>
      </w:r>
    </w:p>
    <w:p>
      <w:pPr>
        <w:pStyle w:val="ListBullet"/>
      </w:pPr>
      <w:hyperlink r:id="rId14">
        <w:r>
          <w:rPr>
            <w:u w:val="single"/>
            <w:color w:val="0000FF"/>
            <w:rStyle w:val="Hyperlink"/>
          </w:rPr>
          <w:t>http://legaldb.freemedia.at/special-report-criminal-libel-in-the-united-states/</w:t>
        </w:r>
      </w:hyperlink>
      <w:r>
        <w:t xml:space="preserve"> - This report provides a historical and legal context for defamation laws, including criminal libel, which can inform discussions on accountability and free speech in governance.</w:t>
      </w:r>
    </w:p>
    <w:p>
      <w:pPr>
        <w:pStyle w:val="ListBullet"/>
      </w:pPr>
      <w:hyperlink r:id="rId15">
        <w:r>
          <w:rPr>
            <w:u w:val="single"/>
            <w:color w:val="0000FF"/>
            <w:rStyle w:val="Hyperlink"/>
          </w:rPr>
          <w:t>https://www.dailymail.co.uk/news/article-14459113/parish-councillor-accused-village-clerk-secretly-giving-finger.html?ns_mchannel=rss&amp;ns_campaign=1490&amp;ito=1490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fleggburgh-council-meeting-andrew-peake-b2708522.html" TargetMode="External"/><Relationship Id="rId12" Type="http://schemas.openxmlformats.org/officeDocument/2006/relationships/hyperlink" Target="https://www.swlaw.edu/sites/default/files/2020-06/CRIMINAL%20DEFAMATION-%20STILL%20%E2%80%9CAN%20INSTRUMENT%20OF%20DESTRUCTION%E2%80%9D%20IN%20THE%20AGE%20OF%20FAKE%20NEWS.pdf" TargetMode="External"/><Relationship Id="rId13" Type="http://schemas.openxmlformats.org/officeDocument/2006/relationships/hyperlink" Target="https://www.federalregister.gov/documents/2023/10/05/2023-21078/guidance-for-grants-and-agreements" TargetMode="External"/><Relationship Id="rId14" Type="http://schemas.openxmlformats.org/officeDocument/2006/relationships/hyperlink" Target="http://legaldb.freemedia.at/special-report-criminal-libel-in-the-united-states/" TargetMode="External"/><Relationship Id="rId15" Type="http://schemas.openxmlformats.org/officeDocument/2006/relationships/hyperlink" Target="https://www.dailymail.co.uk/news/article-14459113/parish-councillor-accused-village-clerk-secretly-giving-finge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