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government's lenient approach to crime raises public safety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Criminals may soon find themselves banned from pubs, sports grounds, and social events as the new Labour government contemplates alternatives to imprisonment, a move that raises substantial concerns about public safety and accountability. In remarks made during an interview with The Guardian, Courts Minister Sarah Sackman outlined these misguided proposals, part of an ongoing review of sentencing spearheaded by a former Conservative Lord Chancellor, David Gauke.</w:t>
      </w:r>
      <w:r/>
    </w:p>
    <w:p>
      <w:r/>
      <w:r>
        <w:t>Sackman's emphasis on "social gathering" bans reveals a troubling trend towards leniency for offenders, potentially undermining the message that crime must have consequences. As she noted, “The Leveson review into criminal courts is running alongside David Gauke’s review,” painting a picture of a government overwhelmed by its own lack of direction on crucial issues like reoffending and prison overcrowding.</w:t>
      </w:r>
      <w:r/>
    </w:p>
    <w:p>
      <w:r/>
      <w:r>
        <w:t>The Labour government, under Keir Starmer, is already under fire for a staggering backlog of 73,000 court cases while simultaneously attempting to address prison overcrowding. The recent decision to halt the placement of girls in young offender institutions, a response to alarming self-harm rates among this group, further illustrates their reactive, rather than proactive, approach to justice. While they may attempt to rehouse these individuals in secure schools or children's homes, it begs the question: Are they prioritising political optics over genuine solutions for youth crime?</w:t>
      </w:r>
      <w:r/>
    </w:p>
    <w:p>
      <w:r/>
      <w:r>
        <w:t>This situation is compounded by a concerning critique from the public accounts committee, a body that holds the government accountable on spending matters. Headed by Conservative MP Geoffrey Clifton-Brown, the committee has signaled its distrust in the government’s reliance on both the Leveson review and Gauke’s proposals for real solutions, calling attention to the record-high backlog—the very justice crisis that Labour seems incapable of resolving.</w:t>
      </w:r>
      <w:r/>
    </w:p>
    <w:p>
      <w:r/>
      <w:r>
        <w:t>Sackman’s dismissal of the committee's concerns raises eyebrows. She insists that there is a plan to tackle these issues, yet the evidence suggests otherwise. With crown court judges only expected to sit for 110,000 days in the next financial year—a number that falls short of the government’s own maximum capacity—there's little reason to believe the Labour government is fully committed to getting justice back on track.</w:t>
      </w:r>
      <w:r/>
    </w:p>
    <w:p>
      <w:r/>
      <w:r>
        <w:t xml:space="preserve">Moreover, victims of crime, the true overlooked stakeholders in this debacle, are suffering due to the government's incompetence. A report from victims’ commissioner Helen Newlove has exposed the horrific effects of court delays, with many victims experiencing multiple adjournments. Her emotional plea highlights a grim reality: “It is not acceptable for a victim to have to keep worrying whether the trial day is going to go ahead.” </w:t>
      </w:r>
      <w:r/>
    </w:p>
    <w:p>
      <w:r/>
      <w:r>
        <w:t>This government's history isn't promising either; the abolition of the court inspectorate in 2010 by Labour, followed by refusal to reinstate it despite recommendations by the justice select committee, speaks volumes about their long-term approach to managing court efficiency and maintaining public trust.</w:t>
      </w:r>
      <w:r/>
    </w:p>
    <w:p>
      <w:r/>
      <w:r>
        <w:t>It is staggering to witness a government that seems more interested in soft-touch policies than in enforcing the rule of law and prioritising the safety and rights of victims. As they flounder through these reforms, alternatives that focus on true accountability and deterrence seem critically needed. Without a shift in approach towards ensuring justice and safety, the mistakes of the past will continue to haunt both the courts and the streets.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https://www.russellwebster.com/the-new-justice-ministerial-line-up/</w:t>
        </w:r>
      </w:hyperlink>
      <w:r>
        <w:t xml:space="preserve"> - This URL provides information about Sarah Sackman's role as Minister of State in the Ministry of Justice, which is relevant to her involvement in the review of sentencing and court reforms.</w:t>
      </w:r>
      <w:r/>
    </w:p>
    <w:p>
      <w:pPr>
        <w:pStyle w:val="ListNumber"/>
        <w:spacing w:line="240" w:lineRule="auto"/>
        <w:ind w:left="720"/>
      </w:pPr>
      <w:r/>
      <w:hyperlink r:id="rId11">
        <w:r>
          <w:rPr>
            <w:color w:val="0000EE"/>
            <w:u w:val="single"/>
          </w:rPr>
          <w:t>https://www.gov.uk/government/people/sarah-sackman</w:t>
        </w:r>
      </w:hyperlink>
      <w:r>
        <w:t xml:space="preserve"> - This official government page details Sarah Sackman's responsibilities as Minister of State, including court reform and criminal justice, which aligns with the article's discussion on sentencing reviews.</w:t>
      </w:r>
      <w:r/>
    </w:p>
    <w:p>
      <w:pPr>
        <w:pStyle w:val="ListNumber"/>
        <w:spacing w:line="240" w:lineRule="auto"/>
        <w:ind w:left="720"/>
      </w:pPr>
      <w:r/>
      <w:hyperlink r:id="rId12">
        <w:r>
          <w:rPr>
            <w:color w:val="0000EE"/>
            <w:u w:val="single"/>
          </w:rPr>
          <w:t>https://rozenberg.substack.com/p/fundamental-reform</w:t>
        </w:r>
      </w:hyperlink>
      <w:r>
        <w:t xml:space="preserve"> - This article discusses the challenges faced by the justice system, including court backlogs and the need for fundamental reforms, which supports the article's critique of the Labour government's approach to justice.</w:t>
      </w:r>
      <w:r/>
    </w:p>
    <w:p>
      <w:pPr>
        <w:pStyle w:val="ListNumber"/>
        <w:spacing w:line="240" w:lineRule="auto"/>
        <w:ind w:left="720"/>
      </w:pPr>
      <w:r/>
      <w:hyperlink r:id="rId13">
        <w:r>
          <w:rPr>
            <w:color w:val="0000EE"/>
            <w:u w:val="single"/>
          </w:rPr>
          <w:t>https://www.theguardian.com/uk-news</w:t>
        </w:r>
      </w:hyperlink>
      <w:r>
        <w:t xml:space="preserve"> - The Guardian is a reputable source where interviews and discussions about government policies, including those related to justice and sentencing, are often published, which could include remarks by Sarah Sackman.</w:t>
      </w:r>
      <w:r/>
    </w:p>
    <w:p>
      <w:pPr>
        <w:pStyle w:val="ListNumber"/>
        <w:spacing w:line="240" w:lineRule="auto"/>
        <w:ind w:left="720"/>
      </w:pPr>
      <w:r/>
      <w:hyperlink r:id="rId14">
        <w:r>
          <w:rPr>
            <w:color w:val="0000EE"/>
            <w:u w:val="single"/>
          </w:rPr>
          <w:t>https://www.parliament.uk/business/committees/committees-a-z/commons-select/public-accounts-committee/</w:t>
        </w:r>
      </w:hyperlink>
      <w:r>
        <w:t xml:space="preserve"> - This URL provides information about the Public Accounts Committee, which is mentioned in the article as critiquing the government's reliance on certain reviews for justice solutions.</w:t>
      </w:r>
      <w:r/>
    </w:p>
    <w:p>
      <w:pPr>
        <w:pStyle w:val="ListNumber"/>
        <w:spacing w:line="240" w:lineRule="auto"/>
        <w:ind w:left="720"/>
      </w:pPr>
      <w:r/>
      <w:hyperlink r:id="rId15">
        <w:r>
          <w:rPr>
            <w:color w:val="0000EE"/>
            <w:u w:val="single"/>
          </w:rPr>
          <w:t>https://www.parliament.uk/business/committees/committees-a-z/commons-select/justice-committee/</w:t>
        </w:r>
      </w:hyperlink>
      <w:r>
        <w:t xml:space="preserve"> - The Justice Committee's work and recommendations, such as those related to court efficiency and the court inspectorate, are relevant to the article's discussion on Labour's historical approach to justice.</w:t>
      </w:r>
      <w:r/>
    </w:p>
    <w:p>
      <w:pPr>
        <w:pStyle w:val="ListNumber"/>
        <w:spacing w:line="240" w:lineRule="auto"/>
        <w:ind w:left="720"/>
      </w:pPr>
      <w:r/>
      <w:hyperlink r:id="rId16">
        <w:r>
          <w:rPr>
            <w:color w:val="0000EE"/>
            <w:u w:val="single"/>
          </w:rPr>
          <w:t>https://www.theguardian.com/society/2025/mar/05/bans-from-pubs-and-social-events-could-be-alternative-to-prison-minister-says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ussellwebster.com/the-new-justice-ministerial-line-up/" TargetMode="External"/><Relationship Id="rId11" Type="http://schemas.openxmlformats.org/officeDocument/2006/relationships/hyperlink" Target="https://www.gov.uk/government/people/sarah-sackman" TargetMode="External"/><Relationship Id="rId12" Type="http://schemas.openxmlformats.org/officeDocument/2006/relationships/hyperlink" Target="https://rozenberg.substack.com/p/fundamental-reform" TargetMode="External"/><Relationship Id="rId13" Type="http://schemas.openxmlformats.org/officeDocument/2006/relationships/hyperlink" Target="https://www.theguardian.com/uk-news" TargetMode="External"/><Relationship Id="rId14" Type="http://schemas.openxmlformats.org/officeDocument/2006/relationships/hyperlink" Target="https://www.parliament.uk/business/committees/committees-a-z/commons-select/public-accounts-committee/" TargetMode="External"/><Relationship Id="rId15" Type="http://schemas.openxmlformats.org/officeDocument/2006/relationships/hyperlink" Target="https://www.parliament.uk/business/committees/committees-a-z/commons-select/justice-committee/" TargetMode="External"/><Relationship Id="rId16" Type="http://schemas.openxmlformats.org/officeDocument/2006/relationships/hyperlink" Target="https://www.theguardian.com/society/2025/mar/05/bans-from-pubs-and-social-events-could-be-alternative-to-prison-minister-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