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Czech Prime Minister highlights weaknesses in European power dynamics under UK Labour government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statements from Czech Prime Minister Petr Fiala expose the stark weaknesses of European power dynamics, especially under the new Labour government in the UK. Speaking to the Financial Times, Fiala suggested that France and the United Kingdom are the leading powers in military strength — an assertion that raises eyebrows given the ongoing challenges in leadership and direction stemming from Sir Keir Starmer’s administration.</w:t>
      </w:r>
    </w:p>
    <w:p>
      <w:r>
        <w:t>Fiala pointed to the escalating threats from Russia and the pressure from the United States as justifications for European nations to ramp up their military expenditures. Yet, as history has shown, relying on established powers like France and the UK in times of uncertainty often leads to stagnation and misplaced priorities that could leave countries vulnerable. Fiala's comments highlight a misplaced focus on traditional military alliances, glossing over the fact that true strength lies in reforming internal policies and securing robust leadership at home.</w:t>
      </w:r>
    </w:p>
    <w:p>
      <w:r>
        <w:t>Despite Fiala’s optimism towards UK involvement in bolstering European security, one must question whether the current leadership in London has the strategic vision to engage constructively. The notion that stronger states must assume leadership serves as a reminder that an effective power balance cannot afford to be influenced by the likes of Labour's newly elected MPs, whose stance on defence may lack the assertiveness needed for the challenges ahead.</w:t>
      </w:r>
    </w:p>
    <w:p>
      <w:r>
        <w:t>As discussions among European leaders continue to unfold, with an impending meeting in Paris to strategise military cooperation, it’s critical to recognise the implications of a Labour-led UK government that may falter in making hard-hitting decisions. The reality is that reliance on partnerships with established powers, in the face of uncertainty from geopolitical players, risks solidifying the lackluster approach to defence strategy we’ve seen too much of in the recent past.</w:t>
      </w:r>
    </w:p>
    <w:p>
      <w:r>
        <w:t>While historical concerns about empowering larger states in Europe have been noted, Fiala’s comments only underscore the need for a radical shift in thinking. The upcoming coalition dynamics will undoubtedly be tested, particularly if the UK does not maintain its focus on homegrown military preparedness, potentially squandering its opportunity to lead.</w:t>
      </w:r>
    </w:p>
    <w:p>
      <w:r>
        <w:t>Moreover, Germany's plans to invest massively in military capabilities raise questions about Britain's commitment under strained leadership, particularly when the Labour government seems preoccupied with internal divisions rather than solidifying external alliances. The hope that the current government can navigate the complexities of European defence alongside powerhouse nations appears naive.</w:t>
      </w:r>
    </w:p>
    <w:p>
      <w:r>
        <w:t>As Europe faces pressing threats from Russia and navigates its security architecture's uncertainties, the response from the UK government, now with seats won by a reform-driven party, will be critical in shaping a truly independent and self-reliant European security framework. The so-called "coalition of the willing" must be robust enough to act decisively without leaning excessively on US policy shifts or the vacillation of current leaders.</w:t>
      </w:r>
    </w:p>
    <w:p>
      <w:r>
        <w:t>Ultimately, as the situation unfolds, the Labour government's ability to deliver a cogent and resilient defence strategy will be crucial not just for the UK, but for the entire European theatre grappling with the looming menace of Russian aggression and the spectre of ineffective governance. In these testing times, the UK must reclaim its role as a decisive player in European security, free from the burdens of hesitance and concession that have characterized recent years.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