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government faces mounting economic pressures as welfare cuts fall short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Tuesday afternoon, the political atmosphere in Westminster was rife with apprehension and skepticism as officials from both the Treasury and Downing Street braced for potentially dire revelations about UK economic policy. The scrutiny on Rachel Reeves' spring statement heightened, especially in light of ongoing challenges that threaten the financial stability of millions. Rather than demonstrating strong leadership, the new Labour government seemed to be scrambling; a senior cabinet ally of Sir Keir Starmer curtly remarked, “We’re already focused on next Wednesday, not this Wednesday,” signalling a concerning degree of short-termism in their strategy.</w:t>
      </w:r>
    </w:p>
    <w:p>
      <w:r>
        <w:t>The following day, Reeves received a considerable blow as the Office for Budget Responsibility (OBR) unveiled that recent welfare cuts would save a measly £3.4 billion—falling drastically short of the anticipated £5 billion. This colossal misstep forced Reeves into an uncomfortable position, necessitating further cuts to already strained welfare payments. The importation of Benign external developments also emerged as a cause for worry, particularly when former President Donald Trump announced a striking 25% tariff on cars imported into the United States—a decision that sent shockwaves through British political circles, illuminating the deep vulnerabilities of the Labour administration in handling international economic pressures.</w:t>
      </w:r>
    </w:p>
    <w:p>
      <w:r>
        <w:t>An anonymous source from Downing Street captured the prevailing mood when they stated, “The car tariff surprised pretty much everyone and seems like the opening credits in a production of a bigger show that we’ll see next week.” This suggests not only a government out of touch with global realities but also woefully unprepared for the economic pitfalls that may escalate the country’s troubles. Those involved in negotiations with the United States remained faintly hopeful for exemptions, but such optimism feels unjustified as it became increasingly clear that the UK would not be spared from these tariffs, further tightening the grip of economic strain on families and businesses alike.</w:t>
      </w:r>
    </w:p>
    <w:p>
      <w:r>
        <w:t>The political ramifications were exacerbated by fierce criticism from various industry sectors. Mike Hawes, chief executive of the Society of Motor Manufacturers and Traders (SMMT), stated that the additional tariffs on UK-made vehicles would pose "a major challenge to the industry," underscoring the sheer incompetence surrounding Labour's handling of such critical matters. For the hospitality sector, already on the brink due to previous economic mismanagement, the unwelcome news of impending national insurance contribution hikes pushed many businesses toward the precipice, with UKHospitality's Kate Nicholls ominously predicting widespread staffing cuts.</w:t>
      </w:r>
    </w:p>
    <w:p>
      <w:r>
        <w:t>As debates concerning fiscal policy intensified, Reeves' approval ratings plummeted, drawing unflattering comparisons to the chaotic tenure of Kwasi Kwarteng. Only 19% of the public currently view her performance positively, a staggering indictment of a government seemingly out of its depth. The growing unrest within the Labour Party began to surface, not just from its more radical elements but also from moderate voices who expressed serious concerns regarding the party’s commitment to welfare—a signal that Labour is fracturing under the weight of its own policies.</w:t>
      </w:r>
    </w:p>
    <w:p>
      <w:r>
        <w:t>The shadow chancellor Mel Stride characterized the imminent financial burden on households, with rising costs set to kick in on April 1, as "Rachel's Cruel Day," vocalizing the deep dissatisfaction that plagues constituents as living expenses continue to rise uncontrollably. With Labour forging ahead with disastrous welfare reforms amidst growing discontent, their governance appears increasingly precarious.</w:t>
      </w:r>
    </w:p>
    <w:p>
      <w:r>
        <w:t>Moreover, the shadows of Trump's tariffs loom ominously over Starmer's administration, with risks of getting embroiled in a titanic trade war. Starmer's attempts at diplomacy, rather than reflecting strength, come off as naive, redirecting focus away from pressing domestic crises. The relationship dynamics between Starmer and Reeves may project unity, yet they appear detached from the real concerns of the public they were elected to serve, raising serious questions about the efficacy of their collective strategy.</w:t>
      </w:r>
    </w:p>
    <w:p>
      <w:r>
        <w:t>The chancellor faces a dual pressure: balancing the necessity for fiscal discipline with the dissatisfaction of party activists and an increasingly disillusioned public. Calls for a revision of fiscal rules indicate an unsettling disarray in Labour's fiscal strategy, with opponents challenging the constraints imposed by the OBR that threaten to unwind whatever fragile economic growth the government is attempting to nurture.</w:t>
      </w:r>
    </w:p>
    <w:p>
      <w:r>
        <w:t>As the critical budget period in October edges closer, both Starmer and Reeves find themselves ensnared in a political labyrinth defined by economic uncertainty and surging discontent. With persistent international trade tensions and a party losing faith in its leadership, the coming weeks will rigorously test the viability of this Labour government. The necessity to pivot away from flawed policies and enlist truly reformative approaches is more urgent than ever if they hope to regain public trust.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