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Campaigners call for abolition of two-child limit on benefits as child poverty rises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Campaigners are ramping up their demands for the abolition of the two-child limit on benefits as the eighth anniversary of this detrimental policy draws near. Introduced by the previous Conservative government, this policy restricts child tax credits and universal credit to just the first two children in many households, and it has become a focal point in the ongoing debates surrounding child poverty in the UK.</w:t>
      </w:r>
      <w:r/>
    </w:p>
    <w:p>
      <w:r/>
      <w:r>
        <w:t>Since its inception in 2015, the two-child limit has wreaked havoc on family welfare, with a torrent of charities and research groups presenting alarming evidence of its adverse effects on child poverty levels. The End Child Poverty Coalition has reported a shocking statistic: 109 children are pushed into poverty every single day due to this policy. In recent months, it has been revealed that an additional 30,000 children have been plunged into hardship since Labour took control in July, demonstrating a stark failure in leadership.</w:t>
      </w:r>
      <w:r/>
    </w:p>
    <w:p>
      <w:r/>
      <w:r>
        <w:t>As the Government gears up to unveil its new child poverty strategy this spring, voices from the frontlines, including the Child Poverty Action Group (CPAG), have been clear: any attempt to address child poverty will be futile as long as the two-child limit remains intact. CPAG’s chief executive, Alison Garnham, has forcefully stated, "The Government’s child poverty strategy will fall flat on its face unless it scraps the two-child limit," drawing attention to the daily challenges families endure because of this policy.</w:t>
      </w:r>
      <w:r/>
    </w:p>
    <w:p>
      <w:r/>
      <w:r>
        <w:t>Several organisations, such as Unicef UK and the National Education Union, alongside food bank associations, have joined the ranks of those urging for the policy's repeal. They argue that selectively applying the two-child limit only serves to deepen the plight of vulnerable families. Last Friday, these groups took decisive action by submitting a letter to the Treasury demanding the immediate overturn of the policy.</w:t>
      </w:r>
      <w:r/>
    </w:p>
    <w:p>
      <w:r/>
      <w:r>
        <w:t>The CPAG has calculated that eliminating the two-child limit could instantly lift approximately 350,000 children out of poverty, at an estimated cost of around £2 billion. They assert that this presents a far more pragmatic solution than alternatives such as increasing the child element of universal credit by £17 a week for a cost of £3 billion, or raising the universal credit standard allowance by £25 a week at an eye-watering expense of £8 billion.</w:t>
      </w:r>
      <w:r/>
    </w:p>
    <w:p>
      <w:r/>
      <w:r>
        <w:t>With child poverty now at a historic peak, impacting 4.5 million children—a staggering rise from 3.6 million in 2010/11—the need for urgent action could not be more pressing. Predictions indicate that without strong measures, this number could escalate to 4.8 million by 2030.</w:t>
      </w:r>
      <w:r/>
    </w:p>
    <w:p>
      <w:r/>
      <w:r>
        <w:t>The government’s response to the growing crisis has been notably lacking, with a focus on creating so-called "well-paid and secure jobs" as the panacea for poverty. A spokesperson called for optimism, asserting, “No one should be living in poverty, and we know that the best route out of poverty for struggling families is well-paid, secure work.” However, these platitudes ring hollow when juxtaposed with the grim realities families are facing day in and day out.</w:t>
      </w:r>
      <w:r/>
    </w:p>
    <w:p>
      <w:r/>
      <w:r>
        <w:t>As the debate unfolds, findings from the Child Poverty Action Group emphasize the critical necessity of confronting the fallout from the two-child limit in order to make any tangible progress on child poverty in the UK. Without decisive action, the new government risks compounding the failures of its predecessor, allowing desperation and hardship to grow unchecked in our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https://ifs.org.uk/articles/two-child-limit-poverty-incentives-and-cost</w:t>
        </w:r>
      </w:hyperlink>
      <w:r>
        <w:t xml:space="preserve"> - This source explains the two-child limit's impact on household incomes and child poverty, highlighting how it affects low-income families and contributes to increased poverty levels.</w:t>
      </w:r>
      <w:r/>
    </w:p>
    <w:p>
      <w:pPr>
        <w:pStyle w:val="ListNumber"/>
        <w:spacing w:line="240" w:lineRule="auto"/>
        <w:ind w:left="720"/>
      </w:pPr>
      <w:r/>
      <w:hyperlink r:id="rId11">
        <w:r>
          <w:rPr>
            <w:color w:val="0000EE"/>
            <w:u w:val="single"/>
          </w:rPr>
          <w:t>https://epi.org.uk/publications-and-research/the-two-child-limit-ill-conceived-inefficient-and-misunderstood-2/</w:t>
        </w:r>
      </w:hyperlink>
      <w:r>
        <w:t xml:space="preserve"> - This publication discusses the policy's effects and why it doesn't significantly influence family planning, leading to increased child poverty, especially in larger families.</w:t>
      </w:r>
      <w:r/>
    </w:p>
    <w:p>
      <w:pPr>
        <w:pStyle w:val="ListNumber"/>
        <w:spacing w:line="240" w:lineRule="auto"/>
        <w:ind w:left="720"/>
      </w:pPr>
      <w:r/>
      <w:hyperlink r:id="rId12">
        <w:r>
          <w:rPr>
            <w:color w:val="0000EE"/>
            <w:u w:val="single"/>
          </w:rPr>
          <w:t>https://commonslibrary.parliament.uk/research-briefings/cbp-9301/</w:t>
        </w:r>
      </w:hyperlink>
      <w:r>
        <w:t xml:space="preserve"> - This briefing details the two-child limit's introduction and impact, including exceptions and the controversy surrounding its administration, particularly the 'rape clause'.</w:t>
      </w:r>
      <w:r/>
    </w:p>
    <w:p>
      <w:pPr>
        <w:pStyle w:val="ListNumber"/>
        <w:spacing w:line="240" w:lineRule="auto"/>
        <w:ind w:left="720"/>
      </w:pPr>
      <w:r/>
      <w:hyperlink r:id="rId13">
        <w:r>
          <w:rPr>
            <w:color w:val="0000EE"/>
            <w:u w:val="single"/>
          </w:rPr>
          <w:t>https://cpag.org.uk/what-we-do/policy-and-campaigns/child-poverty/state-child-poverty-strategy-2022</w:t>
        </w:r>
      </w:hyperlink>
      <w:r>
        <w:t xml:space="preserve"> - The Child Poverty Action Group's statements on child poverty emphasize the need to abolish the two-child limit as part of any effective strategy to reduce child poverty in the UK.</w:t>
      </w:r>
      <w:r/>
    </w:p>
    <w:p>
      <w:pPr>
        <w:pStyle w:val="ListNumber"/>
        <w:spacing w:line="240" w:lineRule="auto"/>
        <w:ind w:left="720"/>
      </w:pPr>
      <w:r/>
      <w:hyperlink r:id="rId14">
        <w:r>
          <w:rPr>
            <w:color w:val="0000EE"/>
            <w:u w:val="single"/>
          </w:rPr>
          <w:t>https://www.unicef.org.uk/what-we-do/unicef-uk-teams/policy-research/policy-and-research-briefings</w:t>
        </w:r>
      </w:hyperlink>
      <w:r>
        <w:t xml:space="preserve"> - Unicef UK's policy briefings often highlight concerns about child poverty and policies such as the two-child limit that exacerbate these issues.</w:t>
      </w:r>
      <w:r/>
    </w:p>
    <w:p>
      <w:pPr>
        <w:pStyle w:val="ListNumber"/>
        <w:spacing w:line="240" w:lineRule="auto"/>
        <w:ind w:left="720"/>
      </w:pPr>
      <w:r/>
      <w:hyperlink r:id="rId15">
        <w:r>
          <w:rPr>
            <w:color w:val="0000EE"/>
            <w:u w:val="single"/>
          </w:rPr>
          <w:t>https://www.resolutionfoundation.org/publications/the-state-of-working-britain-2023/</w:t>
        </w:r>
      </w:hyperlink>
      <w:r>
        <w:t xml:space="preserve"> - The Resolution Foundation's reports provide insights into changes in child poverty rates and the economic contexts that influence policy decisions like the two-child limit.</w:t>
      </w:r>
      <w:r/>
    </w:p>
    <w:p>
      <w:pPr>
        <w:pStyle w:val="ListNumber"/>
        <w:spacing w:line="240" w:lineRule="auto"/>
        <w:ind w:left="720"/>
      </w:pPr>
      <w:r/>
      <w:hyperlink r:id="rId16">
        <w:r>
          <w:rPr>
            <w:color w:val="0000EE"/>
            <w:u w:val="single"/>
          </w:rPr>
          <w:t>https://www.irishnews.com/news/uk/thousands-more-in-poverty-say-campaigners-ahead-of-two-child-limit-anniversary-SEFWLJDTQBIFFOWPFSOZNO5HUA/</w:t>
        </w:r>
      </w:hyperlink>
      <w:r>
        <w:t xml:space="preserve"> - Please view link - unable to able to access data</w:t>
      </w:r>
      <w:r/>
    </w:p>
    <w:p>
      <w:pPr>
        <w:pStyle w:val="ListNumber"/>
        <w:spacing w:line="240" w:lineRule="auto"/>
        <w:ind w:left="720"/>
      </w:pPr>
      <w:r/>
      <w:hyperlink r:id="rId17">
        <w:r>
          <w:rPr>
            <w:color w:val="0000EE"/>
            <w:u w:val="single"/>
          </w:rPr>
          <w:t>https://www.independent.co.uk/news/uk/politics/two-child-benefit-cap-labour-poverty-b2726970.html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fs.org.uk/articles/two-child-limit-poverty-incentives-and-cost" TargetMode="External"/><Relationship Id="rId11" Type="http://schemas.openxmlformats.org/officeDocument/2006/relationships/hyperlink" Target="https://epi.org.uk/publications-and-research/the-two-child-limit-ill-conceived-inefficient-and-misunderstood-2/" TargetMode="External"/><Relationship Id="rId12" Type="http://schemas.openxmlformats.org/officeDocument/2006/relationships/hyperlink" Target="https://commonslibrary.parliament.uk/research-briefings/cbp-9301/" TargetMode="External"/><Relationship Id="rId13" Type="http://schemas.openxmlformats.org/officeDocument/2006/relationships/hyperlink" Target="https://cpag.org.uk/what-we-do/policy-and-campaigns/child-poverty/state-child-poverty-strategy-2022" TargetMode="External"/><Relationship Id="rId14" Type="http://schemas.openxmlformats.org/officeDocument/2006/relationships/hyperlink" Target="https://www.unicef.org.uk/what-we-do/unicef-uk-teams/policy-research/policy-and-research-briefings" TargetMode="External"/><Relationship Id="rId15" Type="http://schemas.openxmlformats.org/officeDocument/2006/relationships/hyperlink" Target="https://www.resolutionfoundation.org/publications/the-state-of-working-britain-2023/" TargetMode="External"/><Relationship Id="rId16" Type="http://schemas.openxmlformats.org/officeDocument/2006/relationships/hyperlink" Target="https://www.irishnews.com/news/uk/thousands-more-in-poverty-say-campaigners-ahead-of-two-child-limit-anniversary-SEFWLJDTQBIFFOWPFSOZNO5HUA/" TargetMode="External"/><Relationship Id="rId17" Type="http://schemas.openxmlformats.org/officeDocument/2006/relationships/hyperlink" Target="https://www.independent.co.uk/news/uk/politics/two-child-benefit-cap-labour-poverty-b272697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