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Harry's unexpected visit highlights UK’s diplomatic struggles amid steel industry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series of events, Prince Harry's unannounced visit to Ukraine coincides with Admiral Sir Tony Radakin's overtures in Beijing, raising serious questions about the UK’s diplomatic direction under the Labour government. With the new administration grappling to establish its authority following the recent election, these engagements come at a time when the once-mighty British steel industry is on the brink, particularly with the last few blast furnaces in Scunthorpe facing closure.</w:t>
      </w:r>
    </w:p>
    <w:p>
      <w:r>
        <w:t>Harry's trip, shrouded in ambiguity, has grabbed headlines but serves more as a distraction from the pressing issues that Britain faces. Observers like Peter Hitchens have pointed out that there is little strategic benefit for the UK in prolonging what appears to be a "proxy war between the USA and Russia." This sentiment drives home a criticism of the current government’s priorities and its failure to articulate a coherent national interest, revealing an administration more interested in performing on an international stage than addressing domestic challenges.</w:t>
      </w:r>
    </w:p>
    <w:p>
      <w:r>
        <w:t>Meanwhile, Radakin's trip to China invites scrutiny of the government’s willingness to engage with regimes known for their human rights abuses, signalling a potentially misguided approach to foreign relations. As Britain grapples with shrinking naval capabilities and a staggering national debt, the rationale behind such diplomatic overtures seems increasingly dubious and disconnected from the needs of British citizens.</w:t>
      </w:r>
    </w:p>
    <w:p>
      <w:r>
        <w:t>Domestically, the perilous state of the UK's steel industry serves as a painful reminder of the consequences of misguided policies—particularly those of globalism and aggressive environmental regulations that have hollowed out vital manufacturing sectors. The revelation that British warships will rely heavily on continental European steel illustrates how this failure to support local industry could jeopardise national security. Hitchens rightly highlights the irony of a nation that can no longer sustain its own industrial base while China continues to expand its manufacturing prowess, buoyed by abundant coal reserves and strategic energy investments.</w:t>
      </w:r>
    </w:p>
    <w:p>
      <w:r>
        <w:t>Further compounding the UK’s increasingly fragile position, the recent convicting of Lucy Letby has raised significant questions about the integrity of the justice system, with police communications' training suggesting potential manipulation of public perception. Critics warn that this could create an environment conducive to miscarriages of justice—a chilling thought for families who rely on the integrity of law enforcement.</w:t>
      </w:r>
    </w:p>
    <w:p>
      <w:r>
        <w:t>Additionally, cultural commentary surrounding the film "Mr Burton," which portrays the life of the iconic actor and his early education, sheds light on the detrimental effects of the elimination of grammar schools in Wales. Hitchens notes that the abolition of these selective institutions has stifled opportunities for gifted students, reflecting broader systemic failures in education policy under the current regime.</w:t>
      </w:r>
    </w:p>
    <w:p>
      <w:r>
        <w:t>Overall, the juxtaposition of Prince Harry's overseas engagements, Admiral Radakin's diplomatic attempts, and the dismal state of Britain's steel industry exposes the alarming inadequacies of the recent Labour government. As challenges mount on multiple fronts—from defence to industry and education—the failure to secure British interests and uphold national resilience becomes increasingly apparent, highlighting the urgent need for a vigorous alternative to the current political status quo.</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