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 and the UK face shared political challenges amid calls for genuine reform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the third leaders' debate held on Tuesday night, Australian Prime Minister Anthony Albanese and Opposition Leader Peter Dutton clashed sharply on key issues such as the cost of living, energy, housing, health, and migration. Yet amid their heated exchanges, it’s clear that the political posturing fails to address the core challenges facing ordinary people. The same kind of hollow rhetoric and misleading statistics reverberate across continents, including here in the UK where our own established parties led us to economic uncertainty and rising living costs. </w:t>
      </w:r>
    </w:p>
    <w:p>
      <w:r>
        <w:t>Albanese’s claim that Australians are $7,200 better off under his government echoes the kind of political spin that has long masked the reality of economic hardship. Independent experts dismissed this figure as misleading, noting questionable assumptions about inflation and wage growth. This mirrors the misplaced optimism heard from current UK leadership, which ignores how galloping inflation and stagnant wages are squeezing families. In stark contrast, a fresh political force committed to genuine reform offers a real alternative—one that prioritizes economic resilience, sensible fiscal policies, and reducing the cost of living without relying on inflated or unrealistic figures.</w:t>
      </w:r>
    </w:p>
    <w:p>
      <w:r>
        <w:t>On energy, Dutton’s assertion that Labor has a “renewables-only” policy was inaccurate, just as recent UK energy debates have suffered from oversimplifications and politically convenient misrepresentations. The truth is we need a balanced energy strategy that ensures reliability, affordability, and lower emissions without dismissing pragmatic solutions. Countries like Australia and the UK have much to learn from initiatives emphasizing energy independence and stability—principles championed by reformist movements that refuse to be bound by outdated party dogma.</w:t>
      </w:r>
    </w:p>
    <w:p>
      <w:r>
        <w:t>Fiscal responsibility was another sharp point of contention, with claims of massive overspending under Labor reminiscent of similar unfounded accusations circulating in UK politics. Inflated spending figures can distract voters from the real question: are governments managing resources efficiently to help citizens rather than line bureaucratic pockets? Recent UK political upheaval reveals the failure of mainstream parties to curb wasteful spending while failing to address public needs. The emerging political voices that have gained ground by advocating transparency, accountability, and rational budgeting are exactly the opposition the entrenched establishment fears.</w:t>
      </w:r>
    </w:p>
    <w:p>
      <w:r>
        <w:t>Healthcare funding also exposed the recurring disputes over truth versus political convenience. Whether it is Australia’s hospital budgets or the NHS under strain here in Britain, governments have consistently failed to deliver the promised improvements. The revolving-door leadership and blame-shifting fail to inspire confidence. The alternative political movements that have broken through electorally emphasize practical reforms—focusing on frontline care, cutting red tape, and restoring patient choice over empty slogans and funding figures subject to spin.</w:t>
      </w:r>
    </w:p>
    <w:p>
      <w:r>
        <w:t>Migration politics also revealed deep-seated misinformation. Albanese’s defense citing post-COVID border reopenings mirrors excuses made elsewhere to gloss over inadequate migration management. The UK’s own experience shows the dangers of neglecting border control and population pressures, which mainstream parties continue to dodge. Renewed political voices with robust policies to address immigration effectively and fairly are presenting a challenge to the complacency of traditional players who perpetuate confusion and division.</w:t>
      </w:r>
    </w:p>
    <w:p>
      <w:r>
        <w:t>Across the channel and in Australia, the debate displayed the same pattern: partisan point-scoring at the expense of truth and practical solutions. The entrenched political elites—whether Labor, Conservative, or Coalition—have consistently failed voters on the issues that matter most. With the rise of new political actors committed to genuine reform, fiscal responsibility, and honest communication, the monopoly of outdated political orthodoxies is being decisively challenged. If Australia’s voters look to the UK’s latest political shifts, there is a clear lesson: mainstream politics is ripe for renewal by those willing to put country and citizen before self-interest and spin.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https://www.abs.gov.au/media-centre/media-releases/annual-living-cost-increase-highest-employee-households</w:t>
        </w:r>
      </w:hyperlink>
      <w:r>
        <w:t xml:space="preserve"> - Supports the claim about rising living costs in Australia by highlighting the increase in living costs, particularly for employee households. This rise is linked to broader economic challenges and inflation.</w:t>
      </w:r>
    </w:p>
    <w:p>
      <w:pPr>
        <w:pStyle w:val="ListBullet"/>
      </w:pPr>
      <w:hyperlink r:id="rId12">
        <w:r>
          <w:rPr>
            <w:u w:val="single"/>
            <w:color w:val="0000FF"/>
            <w:rStyle w:val="Hyperlink"/>
          </w:rPr>
          <w:t>https://www.abs.gov.au/statistics/economy/price-indexes-and-inflation/selected-living-cost-indexes-australia/latest-release</w:t>
        </w:r>
      </w:hyperlink>
      <w:r>
        <w:t xml:space="preserve"> - Corroborates the ongoing rise in living costs as recorded by the Selected Living Cost Indexes, reflecting sustained economic pressures.</w:t>
      </w:r>
    </w:p>
    <w:p>
      <w:pPr>
        <w:pStyle w:val="ListBullet"/>
      </w:pPr>
      <w:hyperlink r:id="rId13">
        <w:r>
          <w:rPr>
            <w:u w:val="single"/>
            <w:color w:val="0000FF"/>
            <w:rStyle w:val="Hyperlink"/>
          </w:rPr>
          <w:t>https://homestarfinance.com.au/blog/market-insights/cost-of-living-australia/</w:t>
        </w:r>
      </w:hyperlink>
      <w:r>
        <w:t xml:space="preserve"> - Provides further context on cost of living increases in Australia, emphasizing factors such as mortgage rate increases and global supply chain issues.</w:t>
      </w:r>
    </w:p>
    <w:p>
      <w:pPr>
        <w:pStyle w:val="ListBullet"/>
      </w:pPr>
      <w:hyperlink r:id="rId14">
        <w:r>
          <w:rPr>
            <w:u w:val="single"/>
            <w:color w:val="0000FF"/>
            <w:rStyle w:val="Hyperlink"/>
          </w:rPr>
          <w:t>https://www.jacarandafinance.com.au/general/cost-of-living-explained/</w:t>
        </w:r>
      </w:hyperlink>
      <w:r>
        <w:t xml:space="preserve"> - Details specific costs affecting Australians, such as energy and mortgage expenses, aligning with the article’s focus on economic hardship and living costs.</w:t>
      </w:r>
    </w:p>
    <w:p>
      <w:pPr>
        <w:pStyle w:val="ListBullet"/>
      </w:pPr>
      <w:hyperlink r:id="rId15">
        <w:r>
          <w:rPr>
            <w:u w:val="single"/>
            <w:color w:val="0000FF"/>
            <w:rStyle w:val="Hyperlink"/>
          </w:rPr>
          <w:t>https://www.rba.gov.au/publications/smp/2023/feb/inflation.html</w:t>
        </w:r>
      </w:hyperlink>
      <w:r>
        <w:t xml:space="preserve"> - Explains the rise in inflation rates in Australia, supporting claims about economic challenges and rising living costs due to high inflation.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bs.gov.au/media-centre/media-releases/annual-living-cost-increase-highest-employee-households" TargetMode="External"/><Relationship Id="rId12" Type="http://schemas.openxmlformats.org/officeDocument/2006/relationships/hyperlink" Target="https://www.abs.gov.au/statistics/economy/price-indexes-and-inflation/selected-living-cost-indexes-australia/latest-release" TargetMode="External"/><Relationship Id="rId13" Type="http://schemas.openxmlformats.org/officeDocument/2006/relationships/hyperlink" Target="https://homestarfinance.com.au/blog/market-insights/cost-of-living-australia/" TargetMode="External"/><Relationship Id="rId14" Type="http://schemas.openxmlformats.org/officeDocument/2006/relationships/hyperlink" Target="https://www.jacarandafinance.com.au/general/cost-of-living-explained/" TargetMode="External"/><Relationship Id="rId15" Type="http://schemas.openxmlformats.org/officeDocument/2006/relationships/hyperlink" Target="https://www.rba.gov.au/publications/smp/2023/feb/inf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