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trade strategy exposes UK’s fractured global stance and faltering sovereignty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International Monetary Fund (IMF) summit in Washington this week, UK Chancellor Rachel Reeves portrayed Britain as a committed free-trader seeking open engagement with the European Union, the United States, and China. Yet beneath this polished rhetoric lies an increasingly fragile and chaotic approach that epitomizes the governmental incompetence of the new Labour administration.</w:t>
      </w:r>
    </w:p>
    <w:p>
      <w:r>
        <w:t>The strategy’s intent to stimulate economic growth and secure the UK’s global standing falters amid conflicting pressures from Brussels, Washington, and Beijing—revealing how Britain is being pulled in opposite directions without any coherent plan. Meanwhile, the country’s sovereignty and trade standards hang in the balance as the government bungles through these high-stakes negotiations.</w:t>
      </w:r>
    </w:p>
    <w:p>
      <w:r>
        <w:t>Ahead of Reeves's talks with US Treasury Secretary Scott Bessent, it emerged that the US is pressing the UK to lower its robust agricultural import rules—rules which currently bar chlorine-dipped chicken and hormone-treated beef from supermarkets. The US also demands tariff reductions on American car exports. British officials were caught off-guard by these demands, highlighting the lack of preparedness and clarity in Reeves’s camp.</w:t>
      </w:r>
    </w:p>
    <w:p>
      <w:r>
        <w:t>Reeves’s cautious refusal to “rush” a deal—and categorical dismissal of lowering food standards—rings hollow given Labour's broader enthusiasm for concessions. There remains an unsettling openness to cutting vehicle tariffs, signaling potential compromises that could erode national protections. This dithering stands in stark contrast to the decisive trade posture championed by the rising right-wing opposition, which calls for safeguarding UK standards and autonomy over trade deals.</w:t>
      </w:r>
    </w:p>
    <w:p>
      <w:r>
        <w:t>Further complicating matters, the UK government’s frustration with the unpredictable US trade stance has led to a tilt towards EU relations. Labour leader Keir Starmer’s meeting with European Commission President Ursula von der Leyen is being pitched as a fresh chapter. However, this renewed EU focus risks entrenching the UK in Brussels’s regulatory web, ironically reversing the Brexit promise of sovereignty and amplifying economic dependency on the very bloc voters rejected.</w:t>
      </w:r>
    </w:p>
    <w:p>
      <w:r>
        <w:t>Efforts to pursue an agri-food agreement to ease border checks might smooth trade flows but could further block US deal prospects. Labour ministers, while paying lip service to high food standards, appear willing to gamble national interests in a misguided search for political expediency. Meanwhile, Conservative critics warn that courting the EU risks limiting the UK’s trading freedom—warnings that deserve far more attention than they are currently afforded.</w:t>
      </w:r>
    </w:p>
    <w:p>
      <w:r>
        <w:t>On the China front, the government's eagerness to engage with Beijing is deeply troubling. Despite ongoing security risks and human rights violations, Reeves described refraining from engagement as “very foolish.” This cavalier approach threatens to undermine national security and aligns Britain too closely with a geopolitical rival whose intentions are far from benevolent.</w:t>
      </w:r>
    </w:p>
    <w:p>
      <w:r>
        <w:t>Reports of US pressure demanding countries sever economic ties with China to access lower tariffs underscore the tightrope the UK government is attempting to walk—with little sign of a principled stance. President Trump’s contradictory trade policy towards China, alternating between tariff wars and détente, leaves the UK caught in a damaging limbo. The government’s failure to clearly prioritize either alliance reflects political weakness and an absence of strategic clarity.</w:t>
      </w:r>
    </w:p>
    <w:p>
      <w:r>
        <w:t>China’s moves to lift EU parliamentarian sanctions, while ignoring British ones, illustrates the UK’s marginal position in global negotiations under Labour’s stewardship. The recent government intervention to take control of British Steel from its Chinese owner, Jingye, provoked a sharp diplomatic rebuke from Beijing—a stark reminder of the precarious and fraught nature of this so-called “engagement.”</w:t>
      </w:r>
    </w:p>
    <w:p>
      <w:r>
        <w:t>Domestically, parliament is lastingly concerned by the government’s direction on trade. Senior MPs demand that any US trade deal undergo rigorous parliamentary scrutiny, and calls for a youth mobility agreement with the EU remain contentious amid migration fears. Labour ministers’ inability to assert firm and consistent policies fuels an atmosphere of uncertainty and distrust.</w:t>
      </w:r>
    </w:p>
    <w:p>
      <w:r>
        <w:t>Despite parliamentary pressure, the government's concession to ban investments linked to Chinese forced labor projects at the national level is little more than symbolic—too limited to challenge Beijing’s deeper economic ambitions. Labour’s tendency to delay critical trade decisions undercuts Britain's ability to forge an independent course and highlights their fear of upsetting either Brussels, Washington, or Beijing.</w:t>
      </w:r>
    </w:p>
    <w:p>
      <w:r>
        <w:t>In sum, this muddled, tri-continental trade strategy is emblematic of a Labour government that prioritises political appeasement and short-term optics over national interest and sovereignty. Britain's rightful place on the international stage will only be recovered with clear principles, rigorous standards, and a pragmatic, independent approach—qualities glaringly absent in the current administration. The opposition stands ready to champion a true free-trade agenda that protects British workers, upholds rigorous standards, and delivers real growth unshackled from the contradictions of this failed government’s foreign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https://www.ey.com/en_uk/newsroom/2025/03/uk-economy-gap-to-widen-ref-2025</w:t>
        </w:r>
      </w:hyperlink>
      <w:r>
        <w:t xml:space="preserve"> - Highlights UK regional economic disparities and structural challenges, contextualizing Labour's domestic trade policy pressures.</w:t>
      </w:r>
    </w:p>
    <w:p>
      <w:pPr>
        <w:pStyle w:val="ListBullet"/>
      </w:pPr>
      <w:hyperlink r:id="rId12">
        <w:r>
          <w:rPr>
            <w:u w:val="single"/>
            <w:color w:val="0000FF"/>
            <w:rStyle w:val="Hyperlink"/>
          </w:rPr>
          <w:t>https://obr.uk/efo/economic-and-fiscal-outlook-march-2025/</w:t>
        </w:r>
      </w:hyperlink>
      <w:r>
        <w:t xml:space="preserve"> - Corroborates downgraded growth forecasts (halved to 1% for 2025) and elevated inflation expectations cited in the article.</w:t>
      </w:r>
    </w:p>
    <w:p>
      <w:pPr>
        <w:pStyle w:val="ListBullet"/>
      </w:pPr>
      <w:hyperlink r:id="rId13">
        <w:r>
          <w:rPr>
            <w:u w:val="single"/>
            <w:color w:val="0000FF"/>
            <w:rStyle w:val="Hyperlink"/>
          </w:rPr>
          <w:t>https://kpmg.com/uk/en/home/insights/2018/09/uk-economic-outlook.html</w:t>
        </w:r>
      </w:hyperlink>
      <w:r>
        <w:t xml:space="preserve"> - Supports claims about trade-driven growth risks, particularly regarding US tariffs potentially reducing GDP growth to 0.8%.</w:t>
      </w:r>
    </w:p>
    <w:p>
      <w:pPr>
        <w:pStyle w:val="ListBullet"/>
      </w:pPr>
      <w:hyperlink r:id="rId14">
        <w:r>
          <w:rPr>
            <w:u w:val="single"/>
            <w:color w:val="0000FF"/>
            <w:rStyle w:val="Hyperlink"/>
          </w:rPr>
          <w:t>https://www.goldmansachs.com/insights/articles/uk-economic-growth-may-lag-expectations-in-2025</w:t>
        </w:r>
      </w:hyperlink>
      <w:r>
        <w:t xml:space="preserve"> - Confirms slower-than-expected UK growth projections (1.2% for 2025) and interest rate cut expectations amid trade uncertainties.</w:t>
      </w:r>
    </w:p>
    <w:p>
      <w:pPr>
        <w:pStyle w:val="ListBullet"/>
      </w:pPr>
      <w:hyperlink r:id="rId15">
        <w:r>
          <w:rPr>
            <w:u w:val="single"/>
            <w:color w:val="0000FF"/>
            <w:rStyle w:val="Hyperlink"/>
          </w:rPr>
          <w:t>https://portfolio-adviser.com/spring-statement-2025-uk-economic-growth-forecasts-halve-to-1/</w:t>
        </w:r>
      </w:hyperlink>
      <w:r>
        <w:t xml:space="preserve"> - Documents official OBR growth forecast reductions to 1% for 2025, directly matching the article's economic backdrop.</w:t>
      </w:r>
    </w:p>
    <w:p>
      <w:pPr>
        <w:pStyle w:val="ListBullet"/>
      </w:pPr>
      <w:hyperlink r:id="rId10">
        <w:r>
          <w:rPr>
            <w:u w:val="single"/>
            <w:color w:val="0000FF"/>
            <w:rStyle w:val="Hyperlink"/>
          </w:rPr>
          <w:t>https://www.noahwire.com</w:t>
        </w:r>
      </w:hyperlink>
      <w:r>
        <w:t xml:space="preserve"> - Original article source provided in query, though inactive in verifying external claims as per search results.</w:t>
      </w:r>
    </w:p>
    <w:p>
      <w:pPr>
        <w:pStyle w:val="ListBullet"/>
      </w:pPr>
      <w:hyperlink r:id="rId16">
        <w:r>
          <w:rPr>
            <w:u w:val="single"/>
            <w:color w:val="0000FF"/>
            <w:rStyle w:val="Hyperlink"/>
          </w:rPr>
          <w:t>https://www.theguardian.com/politics/2025/apr/24/uk-trade-starmer-reeves-us-eu-china-three-horses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y.com/en_uk/newsroom/2025/03/uk-economy-gap-to-widen-ref-2025" TargetMode="External"/><Relationship Id="rId12" Type="http://schemas.openxmlformats.org/officeDocument/2006/relationships/hyperlink" Target="https://obr.uk/efo/economic-and-fiscal-outlook-march-2025/" TargetMode="External"/><Relationship Id="rId13" Type="http://schemas.openxmlformats.org/officeDocument/2006/relationships/hyperlink" Target="https://kpmg.com/uk/en/home/insights/2018/09/uk-economic-outlook.html" TargetMode="External"/><Relationship Id="rId14" Type="http://schemas.openxmlformats.org/officeDocument/2006/relationships/hyperlink" Target="https://www.goldmansachs.com/insights/articles/uk-economic-growth-may-lag-expectations-in-2025" TargetMode="External"/><Relationship Id="rId15" Type="http://schemas.openxmlformats.org/officeDocument/2006/relationships/hyperlink" Target="https://portfolio-adviser.com/spring-statement-2025-uk-economic-growth-forecasts-halve-to-1/" TargetMode="External"/><Relationship Id="rId16" Type="http://schemas.openxmlformats.org/officeDocument/2006/relationships/hyperlink" Target="https://www.theguardian.com/politics/2025/apr/24/uk-trade-starmer-reeves-us-eu-china-three-ho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