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Labour’s polling lead masks voter apathy and strategic dilemmas in UK politics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Recent polling data suggests that the UK Labour Party, buoyed by the recent election, holds a substantial lead over the Conservative Party. However, this leads to deeper questions about the nature of voter loyalty and the political landscape under a government that seems more focused on rhetoric than real solutions.</w:t>
      </w:r>
      <w:r/>
    </w:p>
    <w:p>
      <w:r/>
      <w:r>
        <w:t xml:space="preserve">Back in July 2023, an Opinium poll for the Observer placed Labour at 42%, with the Conservatives languishing at 25%, a staggering 17-point gap. Similarly, a YouGov poll from earlier in March showed Labour soaring at 49% while the Conservatives barely managed a pallid 23%, a 26-point lead that should have prompted serious introspection within the party. </w:t>
      </w:r>
      <w:r/>
    </w:p>
    <w:p>
      <w:r/>
      <w:r>
        <w:t xml:space="preserve">Despite these figures, Labour’s primary vote share has shown a troubling lack of dynamism. From the March YouGov poll at 49% to the July Opinium findings at 42%, Labour's numbers reveal more about the inconsistencies of their leadership than any confidence in their policies. </w:t>
      </w:r>
      <w:r/>
    </w:p>
    <w:p>
      <w:r/>
      <w:r>
        <w:t xml:space="preserve">This stagnation exposes a political reality where Labour may be riding high in the polls, yet voters are clearly not enthused by the party's direction. The Conservative Party’s numbers have fluctuated between 23% and 27%, indicating an unsettling trend of disillusionment among their support base, worsened by the absence of a coherent opposition. </w:t>
      </w:r>
      <w:r/>
    </w:p>
    <w:p>
      <w:r/>
      <w:r>
        <w:t xml:space="preserve">While Labour may currently occupy the political spotlight, the minimal change in primary vote shares reveals a complex interplay of voter behavior, including the ever-present specter of strategic voting. Voters are often compelled to back candidates who they believe can mount a credible challenge rather than expressing true preference. </w:t>
      </w:r>
      <w:r/>
    </w:p>
    <w:p>
      <w:r/>
      <w:r>
        <w:t>The presence of smaller parties and independent candidates serves as a lingering reminder that many citizens are dissatisfied with the single-choice paradigm perpetuated by Labour's leadership. It's crucial to scrutinize these dynamics as they could signal a brewing discontent that Labour might overlook at its own peril. The political landscape is shifting, and it will take more than hollow promises to secure actual trust from a population increasingly eager for alternatives that genuinely reflect their values and priorities.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https://www.ft.com/content/dd6dff7d-c2c4-49ec-a11e-eb9e2130ccbb</w:t>
        </w:r>
      </w:hyperlink>
      <w:r>
        <w:t xml:space="preserve"> - This article discusses the rise of right-wing populism in Britain, highlighting the electoral success of Nigel Farage's Reform UK in the 2025 local elections, which challenges the traditional dominance of the Labour and Conservative parties.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https://www.reuters.com/world/uk/nigel-farages-reform-uk-party-ahead-by-four-votes-key-election-race-2025-05-02/</w:t>
        </w:r>
      </w:hyperlink>
      <w:r>
        <w:t xml:space="preserve"> - This report details Reform UK's significant electoral gains, including winning a parliamentary seat in Runcorn and Helsby by a narrow margin, capturing the mayoralty of Greater Lincolnshire, and taking control of Staffordshire and Durham county councils.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https://apnews.com/article/33fa773d553d022c6af527656e54ac21</w:t>
        </w:r>
      </w:hyperlink>
      <w:r>
        <w:t xml:space="preserve"> - This article covers Reform UK's substantial gains in the latest UK local elections, signaling a challenge to the traditional dominance of the Labour and Conservative parties, with Reform UK winning a Westminster seat in Runcorn and Helsby by a narrow margin.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https://www.ft.com/content/02a06002-d769-478f-8ac9-6c2fb0dd4640</w:t>
        </w:r>
      </w:hyperlink>
      <w:r>
        <w:t xml:space="preserve"> - This podcast discusses the implications of the UK local election results, reflecting a significant erosion of the traditional two-party dominance, with Reform UK making striking gains, including winning its first mayoral seat and controlling two councils.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https://www.ft.com/content/72cf1a46-6bc8-42da-9efd-c74c38c9613e</w:t>
        </w:r>
      </w:hyperlink>
      <w:r>
        <w:t xml:space="preserve"> - This article examines the UK's Conservative Party facing an existential crisis, with the rise of Nigel Farage's Reform UK posing a major threat, particularly to the Conservatives, as Reform challenges the Conservatives from the nationalist right.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https://www.ft.com/content/db93435f-2d41-4abc-b84d-5d7fa9bb9b45</w:t>
        </w:r>
      </w:hyperlink>
      <w:r>
        <w:t xml:space="preserve"> - This article reports on Nigel Farage declaring a transformative shift in British politics as Reform UK achieved significant victories in local elections, including winning its fifth parliamentary seat and two mayoralties, signaling a potential new era in UK politics.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https://www.theguardian.com/commentisfree/picture/2025/may/03/why-is-election-day-a-cause-for-celebration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ft.com/content/dd6dff7d-c2c4-49ec-a11e-eb9e2130ccbb" TargetMode="External"/><Relationship Id="rId11" Type="http://schemas.openxmlformats.org/officeDocument/2006/relationships/hyperlink" Target="https://www.reuters.com/world/uk/nigel-farages-reform-uk-party-ahead-by-four-votes-key-election-race-2025-05-02/" TargetMode="External"/><Relationship Id="rId12" Type="http://schemas.openxmlformats.org/officeDocument/2006/relationships/hyperlink" Target="https://apnews.com/article/33fa773d553d022c6af527656e54ac21" TargetMode="External"/><Relationship Id="rId13" Type="http://schemas.openxmlformats.org/officeDocument/2006/relationships/hyperlink" Target="https://www.ft.com/content/02a06002-d769-478f-8ac9-6c2fb0dd4640" TargetMode="External"/><Relationship Id="rId14" Type="http://schemas.openxmlformats.org/officeDocument/2006/relationships/hyperlink" Target="https://www.ft.com/content/72cf1a46-6bc8-42da-9efd-c74c38c9613e" TargetMode="External"/><Relationship Id="rId15" Type="http://schemas.openxmlformats.org/officeDocument/2006/relationships/hyperlink" Target="https://www.ft.com/content/db93435f-2d41-4abc-b84d-5d7fa9bb9b45" TargetMode="External"/><Relationship Id="rId16" Type="http://schemas.openxmlformats.org/officeDocument/2006/relationships/hyperlink" Target="https://www.theguardian.com/commentisfree/picture/2025/may/03/why-is-election-day-a-cause-for-celebration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