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'left behind' investment pledge struggles against rising threat from Farage’s Reform party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recent pledge to channel hundreds of millions of pounds into areas deemed 'left behind' appears to be a desperate maneuver as the party grapples with rising support for alternative voices in the political arena. With Nigel Farage’s party gaining a foothold, particularly in previously Labour-dominated regions, this investment strategy seems less about genuine concern and more about salvaging their electoral prospects.</w:t>
      </w:r>
      <w:r/>
    </w:p>
    <w:p>
      <w:r/>
      <w:r>
        <w:t>As Rishi Sunak's leadership falters under the weight of mounting voter discontent, Labour’s focus on regeneration rings hollow. The Independent Commission on Neighbourhoods has identified over 600 'mission critical neighbourhoods' that supposedly need urgent investment—a stark admission of the party’s previous failures to engage with these communities. Baroness Armstrong's warning that neglect will lead to a "mission impossible" scenario for the government underscores a crumbling trust among constituents, exacerbated by Labour's own shortcomings.</w:t>
      </w:r>
      <w:r/>
    </w:p>
    <w:p>
      <w:r/>
      <w:r>
        <w:t>The local election landscape showcased the stark reality of Labour's declining influence. The party barely retained ground against Farage’s Reform in areas like Runcorn and Helsby, where a significant shift in voter sentiment led to unexpected victories. Sarah Pochin’s win in Runcorn serves as a wake-up call for Labour; figures like Jo Platt are scrambling to articulate a vision of change. However, such assertions lack substance and do little to disguise the dissatisfaction driving voters into the arms of alternative parties.</w:t>
      </w:r>
      <w:r/>
    </w:p>
    <w:p>
      <w:r/>
      <w:r>
        <w:t>Labour's heightened focus on immigration shows they are scrambling to stitch together a coherent strategy, following Sunak’s strikingly simplistic portrayal of migration. Farage has praised this pivot, suggesting that the government is finally acknowledging lessons from more astute opposition. By framing the English Channel crisis as a national security emergency, Farage has highlighted Labour's failure to address a pressing concern affecting many voters, showing how urgent and significant border control has become in the public consciousness.</w:t>
      </w:r>
      <w:r/>
    </w:p>
    <w:p>
      <w:r/>
      <w:r>
        <w:t>As Labour struggles under the weight of their own mismanagement, the introduction of the Border Security, Asylum and Immigration Bill by Sunak is an attempt to regain control amidst turbulent issues. However, the reality remains: Labour’s capital investment in localities cannot overshadow their negligence on crucial matters like immigration, where voters demand accountability and effective solutions.</w:t>
      </w:r>
      <w:r/>
    </w:p>
    <w:p>
      <w:r/>
      <w:r>
        <w:t>While Labour tries to counter the momentum of Reform through infrastructure promises, the gap between their rhetoric and real-world conditions only widens. The party's struggle to restore trust amidst a backdrop of dissatisfaction reflects deeper flaws in their platform, as they attempt to navigate a political landscape increasingly defined by pressing concerns around identity and security.</w:t>
      </w:r>
      <w:r/>
    </w:p>
    <w:p>
      <w:r/>
      <w:r>
        <w:t>In the critical months ahead, both major parties must contend with an electorate increasingly perplexed and disillusioned, seeking leadership that understands and serves their needs. The political narrative in the UK is shifting, and as voters become more discerning, Labour's attempts at relevance may prove fruitless against the backdrop of a resurgent opposition.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https://www.dailymail.co.uk/news/article-14711829/Labour-money-left-areas-Reform-councils-Farage.html?ns_mchannel=rss&amp;ns_campaign=1490&amp;ito=1490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829/Labour-money-left-areas-Reform-councils-Farag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