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party’s local election surge sparks fears over inclusivity and autonomy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Following the recent by-election for the Shelley ward of Ongar Town Council in the Epping Forest District of Essex, the opposition is sounding alarms over emerging trends in local governance. A Reform candidate's decisive win, amassing 352 votes compared to just 100 for Labour, highlights a troubling shift in political favor—one that raises serious questions about the future of representation and accountability in the UK.</w:t>
      </w:r>
      <w:r/>
    </w:p>
    <w:p>
      <w:r/>
      <w:r>
        <w:t>This victory adds to a larger movement observed throughout the year, as the Reform party continues to claim parliamentary seats and local council control across the nation. While winning in Runcorn and Helsby—a long-held Labour stronghold—appears to be a notable feat, the implications of such victories cannot be overstated. With the party's seat count now extending to over 600 council positions and control over ten councils, including mayoral elections, the potential erosion of long-standing social commitments, particularly those related to community representation, is deeply concerning.</w:t>
      </w:r>
      <w:r/>
    </w:p>
    <w:p>
      <w:r/>
      <w:r>
        <w:t>The newly elected Reform administration in Kent has made quite a spectacle of its policy shifts, particularly with its controversial decision not to fly the Pride flag this summer and the announcement to remove the Ukrainian flag from the council chamber. Linden Kemkaran, the new leader of Kent County Council, openly dismissed the importance of these symbols, arguing for a return to "unifying" national motifs. This prioritization of exclusionary symbols over inclusivity echoes a dangerous trend in political rhetoric, as it seems to favor division over unity—further polarizing an already fragmented society.</w:t>
      </w:r>
      <w:r/>
    </w:p>
    <w:p>
      <w:r/>
      <w:r>
        <w:t>Critics point out that this governance style undermines local autonomy, with Liberal Democrat leader Antony Hook expressing alarm over the apparent top-down direction from the reformist national leadership. The notion that local councillors would now take orders from the party's national chairman raises ethical concerns about transparency and independent decision-making. Moreover, Hook’s concerns about jeopardizing vital environmental initiatives point to the wider implications of allowing a right-wing agenda to steer policies traditionally focused on inclusivity and sustainability.</w:t>
      </w:r>
      <w:r/>
    </w:p>
    <w:p>
      <w:r/>
      <w:r>
        <w:t>As the Reform party roots itself more firmly in local governance, it raises the stakes for all voters: Will this shift lead to a more divisive society, prioritizing certain groups while ignoring the needs of the broader community? The approach being adopted by the party suggests a disregard for the principles of diversity and inclusivity that many voters hold dear.</w:t>
      </w:r>
      <w:r/>
    </w:p>
    <w:p>
      <w:r/>
      <w:r>
        <w:t>The coming months will be pivotal in determining how these changes manifest and affect everyday life across the UK. Voters are increasingly urged to consider whether they endorse the Reform party's transformative agenda or if such shifts risk redefining the bedrock of British values in ways that are fundamentally unrecognizable. The implications of these developments demand vigilant scrutiny as the opposition prepares to challenge the troubling narratives being woven into the fabric of local governance.</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https://www.express.co.uk/news/politics/2059314/another-victory-reform-town-council</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9314/another-victory-reform-town-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