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Brexit deal sparks backlash over sovereignty and EU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recent Brexit deal has ignited fervent debate, especially regarding its impact on the UK’s sovereignty and its increasingly compromised relationship with the European Union. Detractors argue that, rather than facilitating a clean break from Brussels, the deal effectively positions the UK as a mere extension of EU regulations, diluting the essence of the Brexit mandate. Nearly eight years post-referendum, there is a troubling sentiment that the UK has not only maintained but amplified many EU-imposed frameworks, particularly with policies such as Net Zero that threaten national interests.</w:t>
      </w:r>
      <w:r/>
    </w:p>
    <w:p>
      <w:r/>
      <w:r>
        <w:t>This agreement epitomizes the arrogance of the political elite, revealing a worrying disconnect between those in power and ordinary citizens. For instance, the deal’s provision allowing EU fishermen access to UK waters until 2038 represents a significant betrayal of coastal communities that rely on fishing. Such concessions, cloaked in the guise of economic stability, undermine the very foundation of an independent fishing policy and raise serious concerns among those who voted for true sovereignty.</w:t>
      </w:r>
      <w:r/>
    </w:p>
    <w:p>
      <w:r/>
      <w:r>
        <w:t>Moreover, Starmer's arrangement could entrench the UK's adherence to stifling EU agricultural standards, hampering the country’s ability to forge significant global trade agreements. This pivot towards a more integrated EU defence and security framework raises critical questions about the fiscal responsibilities it involves, with estimates suggesting the UK might have to contribute up to £16 billion over three years aligned with EU operational mandates, further entrenching us in a foreign bureaucratic structure.</w:t>
      </w:r>
      <w:r/>
    </w:p>
    <w:p>
      <w:r/>
      <w:r>
        <w:t>In the realm of environmental policy, the deal appears to tie the UK to the EU's contentious carbon trading schemes, reinforcing the commitment to Net Zero ambitions that many view as detrimental to national interests. While collaboration on climate initiatives is vital, this arrangement risks prioritizing EU goals over pragmatic UK needs, leaving sceptics questioning if the UK will be bound by EU regulations without the autonomy to independently address its priorities.</w:t>
      </w:r>
      <w:r/>
    </w:p>
    <w:p>
      <w:r/>
      <w:r>
        <w:t>This situation reveals a persistent resentment among many in the British public towards the political establishment, rooted not only in trading arrangements but also in an overarching unease about relinquishing self-governance. For a significant number of voters who backed Brexit, there is palpable frustration over the perceived betrayal of their democratic choice. Political leaders are often accused of using Brexit as a convenient scapegoat for domestic challenges, even as trade patterns stabilize following initial post-Brexit adjustments.</w:t>
      </w:r>
      <w:r/>
    </w:p>
    <w:p>
      <w:r/>
      <w:r>
        <w:t>As Britain confronts a dynamically changing global environment, underscored by geopolitical strains such as the conflict in Ukraine, the need for a pragmatic relationship with the EU is apparent. Yet the ability to develop independent policies—particularly in migration, trade, and energy security—remains imperative. The debate surrounding Starmer's deal transcends fishing rights and tariffs; it embodies a deeper ideological struggle over the UK’s future engagement with Europe and the world.</w:t>
      </w:r>
      <w:r/>
    </w:p>
    <w:p>
      <w:r/>
      <w:r>
        <w:t>There is a growing recognition that global power dynamics are shifting. As nations like China and India assert their economic dominance, the UK must seriously reconsider its alignment with outdated governance models that surrender national interests for globalist ideals. The political establishment's reluctance to fully embrace the transformative opportunities of Brexit could cost the UK dearly on the international stage.</w:t>
      </w:r>
      <w:r/>
    </w:p>
    <w:p>
      <w:r/>
      <w:r>
        <w:t>In this context, there is an urgent need for a reassessment of the UK’s approach, one that reaffirms national sovereignty, economic resilience, and meaningful policy dialogue that prioritizes citizens' interests. Until political leaders genuinely realign with the aspirations and concerns of the electorate, the risk persists that the country will remain enmeshed in an elite-driven narrative, disconnected from the broader public sentiment. Only by championing homegrown solutions can the UK aspire to reclaim its position globally and invigorate its economy for a more competitive future.</w:t>
      </w:r>
      <w:r/>
    </w:p>
    <w:p>
      <w:r/>
      <w:r>
        <w:t>Today's geopolitical landscape demands a critical departure from conventional thinking; the challenges posed by emerging global powers are substantial, and failure to act decisively may only worsen the situation. If the UK is to maintain relevance and security in this shifting order, it must shed the illusions perpetuated by its predecessors and focus on truly serving the needs of its populace.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https://www.conservativewoman.co.uk/quelle-surprise-eu-says-jump-and-starmer-says-how-high/</w:t>
        </w:r>
      </w:hyperlink>
      <w:r>
        <w:t xml:space="preserve"> - Please view link - unable to able to access data</w:t>
      </w:r>
      <w:r/>
    </w:p>
    <w:p>
      <w:pPr>
        <w:pStyle w:val="ListNumber"/>
        <w:spacing w:line="240" w:lineRule="auto"/>
        <w:ind w:left="720"/>
      </w:pPr>
      <w:r/>
      <w:hyperlink r:id="rId11">
        <w:r>
          <w:rPr>
            <w:color w:val="0000EE"/>
            <w:u w:val="single"/>
          </w:rPr>
          <w:t>https://www.ft.com/content/f725a4ad-d261-47bc-b9c6-a5c652d4a164</w:t>
        </w:r>
      </w:hyperlink>
      <w:r>
        <w:t xml:space="preserve"> - This article discusses the UK's evolving relationship with the European Union post-Brexit. It highlights the need for pragmatic collaboration in light of geopolitical challenges, such as Russia’s war in Ukraine and strained relations with the US. The piece emphasizes the importance of realistic policymaking over ideological posturing, noting that Britain and Europe must adapt flexibly to maximize cooperation and security in a changing global landscape.</w:t>
      </w:r>
      <w:r/>
    </w:p>
    <w:p>
      <w:pPr>
        <w:pStyle w:val="ListNumber"/>
        <w:spacing w:line="240" w:lineRule="auto"/>
        <w:ind w:left="720"/>
      </w:pPr>
      <w:r/>
      <w:hyperlink r:id="rId12">
        <w:r>
          <w:rPr>
            <w:color w:val="0000EE"/>
            <w:u w:val="single"/>
          </w:rPr>
          <w:t>https://www.ft.com/content/36f02ca9-9692-49e2-b84a-17cf86fc1062</w:t>
        </w:r>
      </w:hyperlink>
      <w:r>
        <w:t xml:space="preserve"> - Rupert Rogers addresses the criticism surrounding the EU-UK agreement allowing EU fishing fleets access to UK waters for an additional 12 years. He references historical precedents, such as the 1964 London Fisheries Convention and a 1666 grant by Charles II, to justify such access. Rogers argues that, in the context of these longstanding arrangements, a 12-year extension is minor and consistent with past practices of shared use of maritime resources.</w:t>
      </w:r>
      <w:r/>
    </w:p>
    <w:p>
      <w:pPr>
        <w:pStyle w:val="ListNumber"/>
        <w:spacing w:line="240" w:lineRule="auto"/>
        <w:ind w:left="720"/>
      </w:pPr>
      <w:r/>
      <w:hyperlink r:id="rId13">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The agreement includes a controversial 12-year extension of EU fishing access to UK waters, a trade-off for securing improvements in food trade.</w:t>
      </w:r>
      <w:r/>
    </w:p>
    <w:p>
      <w:pPr>
        <w:pStyle w:val="ListNumber"/>
        <w:spacing w:line="240" w:lineRule="auto"/>
        <w:ind w:left="720"/>
      </w:pPr>
      <w:r/>
      <w:hyperlink r:id="rId14">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Economically, the deal includes a veterinary agreement to ease agrifood exports and aligns emissions trading systems, potentially adding £9bn to the UK economy by 2040.</w:t>
      </w:r>
      <w:r/>
    </w:p>
    <w:p>
      <w:pPr>
        <w:pStyle w:val="ListNumber"/>
        <w:spacing w:line="240" w:lineRule="auto"/>
        <w:ind w:left="720"/>
      </w:pPr>
      <w:r/>
      <w:hyperlink r:id="rId15">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label it a surrender due to dynamic alignment with EU rules.</w:t>
      </w:r>
      <w:r/>
    </w:p>
    <w:p>
      <w:pPr>
        <w:pStyle w:val="ListNumber"/>
        <w:spacing w:line="240" w:lineRule="auto"/>
        <w:ind w:left="720"/>
      </w:pPr>
      <w:r/>
      <w:hyperlink r:id="rId16">
        <w:r>
          <w:rPr>
            <w:color w:val="0000EE"/>
            <w:u w:val="single"/>
          </w:rPr>
          <w:t>https://www.ft.com/content/458d810c-a9d4-41ef-9ff2-4032571ea0fa</w:t>
        </w:r>
      </w:hyperlink>
      <w:r>
        <w:t xml:space="preserve"> - Denmark and Sweden are urging the EU to confront the UK over a ban on catching sand eels at Dogger Bank in the North Sea, which the UK implemented for environmental reasons. The ban, set to take effect next month, has angered Danish and Swedish fishers who rely on sand eels for pig feed and fish oil production, potentially costing Danish fishers €18 million annually. The UK defends the ban as a measure to protect marine habitats and seabirds.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ervativewoman.co.uk/quelle-surprise-eu-says-jump-and-starmer-says-how-high/" TargetMode="External"/><Relationship Id="rId11" Type="http://schemas.openxmlformats.org/officeDocument/2006/relationships/hyperlink" Target="https://www.ft.com/content/f725a4ad-d261-47bc-b9c6-a5c652d4a164" TargetMode="External"/><Relationship Id="rId12" Type="http://schemas.openxmlformats.org/officeDocument/2006/relationships/hyperlink" Target="https://www.ft.com/content/36f02ca9-9692-49e2-b84a-17cf86fc1062" TargetMode="External"/><Relationship Id="rId13" Type="http://schemas.openxmlformats.org/officeDocument/2006/relationships/hyperlink" Target="https://www.ft.com/content/7e7f481e-92dd-4d95-b46e-1d6adb911b70" TargetMode="External"/><Relationship Id="rId14" Type="http://schemas.openxmlformats.org/officeDocument/2006/relationships/hyperlink" Target="https://www.ft.com/content/04bf9ddc-1abf-4641-a4e3-f9b5f2689ebb" TargetMode="External"/><Relationship Id="rId15" Type="http://schemas.openxmlformats.org/officeDocument/2006/relationships/hyperlink" Target="https://www.ft.com/content/ffe9c7ca-52de-457e-ab50-8bc6df5296b0" TargetMode="External"/><Relationship Id="rId16" Type="http://schemas.openxmlformats.org/officeDocument/2006/relationships/hyperlink" Target="https://www.ft.com/content/458d810c-a9d4-41ef-9ff2-4032571ea0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