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vows to scrap two-child benefit cap to tackle Britain’s birth rate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making headlines with a controversial commitment to introduce tax breaks for married couples as part of a push to encourage larger families in Britain. In a significant address scheduled for Westminster, he is expected to assert that the nation’s declining birth rates represent an “existential crisis.” This comes at a time when data reveals that women in England and Wales had an average of just 1.44 children between 2022 and 2023, the lowest fertility rate on record. Farage contends that reversing this trend is crucial not only for family growth but also to bolster Britain’s workforce and reduce reliance on foreign labour, echoing frustrations felt by many as the new Labour government grapples with its own missteps.</w:t>
      </w:r>
      <w:r/>
    </w:p>
    <w:p>
      <w:r/>
      <w:r>
        <w:t>His proposals include scrapping the two-child benefit cap, a policy that critics argue perpetuates child poverty and represents the government's failure to support larger families. Social commentators indicate that as families receive financial aid solely for a limited number of children, this effectively discourages the growth of larger family units—especially crucial amidst an ageing population dilemma. Advocates for reform emphasize that lifting this cap is necessary for addressing wider social inequalities, especially as the current administration continues to neglect the real needs of British families.</w:t>
      </w:r>
      <w:r/>
    </w:p>
    <w:p>
      <w:r/>
      <w:r>
        <w:t>Farage's initiative also features a transferable marriage tax allowance, which would free one spouse from tax on a portion of their income, aiming to resonate with working-class voters. In stark contrast to Labour’s approach, this measure challenges the party’s inadequate handling of family and economic support. However, detractors are quick to point out the staggering costs related to such proposals, estimating that raising the basic rate tax threshold could amount to over £50 billion, a figure that forces a painful conversation about cuts to essential services like environmental policies and immigration under the current regime.</w:t>
      </w:r>
      <w:r/>
    </w:p>
    <w:p>
      <w:r/>
      <w:r>
        <w:t>The political landscape is complicated even further by the Labour Party’s ongoing struggles with welfare spending and its internal contradictions regarding issues such as the winter fuel allowance for pensioners. Prime Minister Keir Starmer’s recent suggestion to reconsider the two-child cap reflects a government scrambling for solutions, yet the fiscal repercussions cast doubt on the sustainability of such pledges, leaving many disheartened by the lackluster responses from established parties.</w:t>
      </w:r>
      <w:r/>
    </w:p>
    <w:p>
      <w:r/>
      <w:r>
        <w:t>Regional variances add another layer to this debate, with London showcasing a unique challenge where fertility rates are disrupted by high housing costs and career pressures, leading many families to delay childbearing. While a case can be made that fewer births might temporarily relieve demands on public services, they raise long-term concerns about the economic viability of supporting an ageing population—a responsibility that the current government seems ill-prepared to manage.</w:t>
      </w:r>
      <w:r/>
    </w:p>
    <w:p>
      <w:r/>
      <w:r>
        <w:t>In light of these mounting issues, calls for a thorough reassessment of family support policies resonate louder than ever. Proposed solutions like increased access to childcare, enhanced training for youth, and strengthened support for fertility treatments are necessary to reverse the worrying trend of declining birth rates. As Farage promotes his vision for economic family support, the implications of these policies could reverberate through the political sphere, positioning them as a necessary alternative to the failing strategies of the existing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https://www.dailymail.co.uk/news/article-14751805/Farage-pledges-tax-breaks-married-couples-encourage-bigger-families-help-Britain-reverse-existential-crisis-plummeting-birth-rates.html?ns_mchannel=rss&amp;ns_campaign=1490&amp;ito=1490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https://www.ft.com/content/15f5016b-366b-4abf-9869-79d81c15576e</w:t>
        </w:r>
      </w:hyperlink>
      <w:r>
        <w:t xml:space="preserve"> - The article argues for the repeal of the UK's two-child benefit cap, which limits financial support to families to their first two children. Critics, including the Child Poverty Action Group, identify it as a major contributor to child poverty. The policy undermines Labour's commitments to combat child poverty and is unpopular among many Labour MPs. The author presents a broader justification rooted in demography and state interest: maintaining a population replacement rate, which typically requires an average of slightly more than two children per family. By curbing support beyond the second child, the government effectively discourages necessary population growth. The author advocates for a societal perspective where raising children is a shared responsibility due to long-term economic and social benefits. Moreover, punitive measures against children for parental choices or misfortunes are viewed as unjust. In conclusion, the writer stresses that valuing families with more than two children should be a policy priority, signaling that the state places high importance on children and future generations.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https://www.ft.com/content/30e0469a-900c-4ef1-9af5-ff5902f6e129</w:t>
        </w:r>
      </w:hyperlink>
      <w:r>
        <w:t xml:space="preserve"> - In London, birth rates are highest among women over 40 years old compared to other regions in England and Wales. The delay in parenthood is largely attributed to high housing costs and career establishment. London’s fertility rate for women aged 40-44 was 20.9 per 1,000 in 2023, significantly higher than other regions. However, overall fertility rates are low, with London's general fertility rate being the lowest in the country at 1.35 children per woman. Factors contributing to this include high living costs, large student populations, and a trend of postponing childbirth for personal and biological reasons. Additionally, changing immigration patterns post-Brexit have influenced these demographic shifts. Despite more fertility clinics aiding older mothers, the number of births in London has declined by 19% over the past decade. This trend is seen as indicative of broader patterns observed in advanced economies globally, driven by economic pressures and shifting societal norms around family formation.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https://www.ft.com/content/03a14332-3048-4bf9-88a8-d965815c34cf</w:t>
        </w:r>
      </w:hyperlink>
      <w:r>
        <w:t xml:space="preserve"> - The birth rate in England and Wales has dropped to its lowest point since records began in 1938, reaching a total fertility rate of 1.44 children per woman in 2023, well below the replacement level of 2.1 children per woman. This decline, which has been ongoing since 2010, raises concerns about demographic challenges including a shrinking workforce and economic implications. Analysts note that while lower birth rates reduce immediate pressures on services like schools, they pose long-term issues with fewer workers to support an ageing population. Factors contributing to the decline include access to contraception, increased female employment and education, and the high cost of childcare and housing. The ageing population may strain public finances, potentially pushing public debt significantly higher in coming decades. Solutions suggested include increasing labour force participation, improving training for youth, and better health policies for older adults, alongside more government support for fertility treatments and family-friendly policies.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https://www.ft.com/content/4b7e81b3-d0c4-4ef5-9686-1ceee63a6c9b</w:t>
        </w:r>
      </w:hyperlink>
      <w:r>
        <w:t xml:space="preserve"> - The Bank of Mum and Dad (Bomad) has significantly reshaped the British economy and society by providing substantial financial support for their children, particularly in covering university tuition fees and deposits for first homes. Data shows an increasing reliance on this support, with a significant percentage of first-time homebuyers receiving family assistance. This trend underscores a growing economic divide, where children's opportunities are increasingly influenced by their parents' financial status. Rising property prices and insufficient housing supply exacerbate this issue, making it harder for those without parental support to secure homeownership. This dynamic has long-term effects on social mobility, as children from less affluent backgrounds struggle more with educational and financial opportunities. The situation is further complicated by issues such as high rent costs and the growing costs associated with elderly care, potentially diminishing future inheritances. Consequently, the Bomad's importance is unlikely to decline shortly, potentially increasing societal inequalities and influencing political landscapes.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1805/Farage-pledges-tax-breaks-married-couples-encourage-bigger-families-help-Britain-reverse-existential-crisis-plummeting-birth-rates.html?ns_mchannel=rss&amp;ns_campaign=1490&amp;ito=1490" TargetMode="External"/><Relationship Id="rId11" Type="http://schemas.openxmlformats.org/officeDocument/2006/relationships/hyperlink" Target="https://www.ft.com/content/5b951d4f-1cd5-4b7a-bd2d-ef4b820de9bf" TargetMode="External"/><Relationship Id="rId12" Type="http://schemas.openxmlformats.org/officeDocument/2006/relationships/hyperlink" Target="https://www.ft.com/content/5b951d4f-1cd5-4b7a-bd2d-ef4b820de9bf?utm_source=openai" TargetMode="External"/><Relationship Id="rId13" Type="http://schemas.openxmlformats.org/officeDocument/2006/relationships/hyperlink" Target="https://www.ft.com/content/15f5016b-366b-4abf-9869-79d81c15576e" TargetMode="External"/><Relationship Id="rId14" Type="http://schemas.openxmlformats.org/officeDocument/2006/relationships/hyperlink" Target="https://www.ft.com/content/15f5016b-366b-4abf-9869-79d81c15576e?utm_source=openai" TargetMode="External"/><Relationship Id="rId15" Type="http://schemas.openxmlformats.org/officeDocument/2006/relationships/hyperlink" Target="https://www.ft.com/content/30e0469a-900c-4ef1-9af5-ff5902f6e129" TargetMode="External"/><Relationship Id="rId16" Type="http://schemas.openxmlformats.org/officeDocument/2006/relationships/hyperlink" Target="https://www.ft.com/content/30e0469a-900c-4ef1-9af5-ff5902f6e129?utm_source=openai" TargetMode="External"/><Relationship Id="rId17" Type="http://schemas.openxmlformats.org/officeDocument/2006/relationships/hyperlink" Target="https://www.ft.com/content/03a14332-3048-4bf9-88a8-d965815c34cf" TargetMode="External"/><Relationship Id="rId18" Type="http://schemas.openxmlformats.org/officeDocument/2006/relationships/hyperlink" Target="https://www.ft.com/content/03a14332-3048-4bf9-88a8-d965815c34cf?utm_source=openai" TargetMode="External"/><Relationship Id="rId19" Type="http://schemas.openxmlformats.org/officeDocument/2006/relationships/hyperlink" Target="https://www.ft.com/content/4b7e81b3-d0c4-4ef5-9686-1ceee63a6c9b" TargetMode="External"/><Relationship Id="rId20" Type="http://schemas.openxmlformats.org/officeDocument/2006/relationships/hyperlink" Target="https://www.ft.com/content/4b7e81b3-d0c4-4ef5-9686-1ceee63a6c9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