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funding neglect threatens to stall UK’s economic engine amid housing and transport crises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London’s vital contribution to the UK’s economy is indisputable; yet under the current government’s misguided priorities, this economic powerhouse is being left to fend for itself. Despite claims of regional levelling up, the reality remains that London continues to fund the nation—transferring around £43 billion annually—to prop up other regions, all while its own infrastructure and housing needs are woefully neglected. The recent Comprehensive Spending Review, touting significant funding in housing and transport, merely pays lip service to London’s urgent demands. The government’s promises are timid, with funding plans backloaded and insufficient, risking further stagnation in a city already crippled by homelessness and crumbling transport links.</w:t>
      </w:r>
      <w:r/>
    </w:p>
    <w:p>
      <w:r/>
      <w:r>
        <w:t>While a purported £39 billion is allocated over ten years for affordable housing, the details reveal a carefully crafted illusion. Initial spending is modest, maintaining the status quo before gradually increasing—hardly the decisive action London needs. With homelessness a daily hardship—families sleeping rough, children in every classroom facing crisis—the government’s failure to dedicate meaningful resources reflects a lack of understanding of London’s unique scale and urgency. This disjointed approach will do little to alleviate the urgent housing crisis that continues to blight millions of Londoners’ lives.</w:t>
      </w:r>
      <w:r/>
    </w:p>
    <w:p>
      <w:r/>
      <w:r>
        <w:t>Transport infrastructure, the backbone of London’s economy, faces neglect disguised as investment. Although some funding has been announced, the sums are paltry compared to the system’s actual needs, which run into billions annually. Promised projects like the Docklands Light Railway extension to Thamesmead, the West London Orbital, and the Bakerloo line extension remain unfunded pipe dreams—delays and indecision threaten to stall vital development. These projects aren’t just about transportation; they’re about unlocking economic growth, creating jobs, and connecting communities. Yet, the government’s half-hearted commitments threaten to undermine London’s ability to bounce back and thrive.</w:t>
      </w:r>
      <w:r/>
    </w:p>
    <w:p>
      <w:r/>
      <w:r>
        <w:t>Historical precedent shows how London’s infrastructure was once financed through local mechanisms—municipal bonds, levies, and land value capture—allowing for dynamic urban development without overreliance on central government. Today’s centralised control stifles this spirit of financial innovation, forcing London to compete with other regions for piecemeal funding. By clinging to outdated models, the government hampers swift urban regeneration and transport expansion, especially in tackling the city’s urgent housing shortages. Without revisiting local funding options, London’s potential will remain locked behind bureaucratic barriers and unpredictable budgets.</w:t>
      </w:r>
      <w:r/>
    </w:p>
    <w:p>
      <w:r/>
      <w:r>
        <w:t>Current government spending announcements are riddled with obfuscation. While some increases in operational budgets are noted, core issues—such as underfunded social services, overstretched healthcare, and failing infrastructure—remain inadequately addressed. London’s disproportionate share of homelessness and the housing crisis will only worsen if practical funding isn’t prioritized. The government’s focus on headline figures masks the real decline in support for London’s vital services, leaving residents to suffer a future of deteriorating urban life.</w:t>
      </w:r>
      <w:r/>
    </w:p>
    <w:p>
      <w:r/>
      <w:r>
        <w:t>In the social housing sector, a long-awaited ten-year rent settlement offers some stability—a step in the right direction for providers battered by austerity and rent controls. Yet, this pales in comparison to the colossal challenges facing London’s housing market. Critical safety improvements post-Grenfell remain underfunded, and the pipeline for affordable homes continues to shrink. Without robust, long-term investment, the government’s promises are empty. London’s homelessness crisis and housing shortages demand far more than promises—they require tangible, immediate action to rebuild trust and capacity.</w:t>
      </w:r>
      <w:r/>
    </w:p>
    <w:p>
      <w:r/>
      <w:r>
        <w:t>In the final analysis, the government’s approach to London’s infrastructure and housing is woefully inadequate. The upcoming strategies might offer a glimmer of hope, but only if real funding and strategic prioritisation are delivered. London's survival as an economic engine and safe haven for its residents depends on a radical shift—one that recognises its unique needs and empowers local solutions. Otherwise, the capital’s decline will jeopardise the entire country’s future, leaving London to rot while other regions benefit from a government that continues to neglect its primary engine of growth. Now more than ever, decisive action is required to restore London’s resilience and ensure it remains the driving force for the UK’s prosperity.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https://www.cityam.com/labour-must-not-overlook-london-when-it-comes-to-infrastructure-spending/</w:t>
        </w:r>
      </w:hyperlink>
      <w:r>
        <w:t xml:space="preserve"> - Please view link - unable to able to access data</w:t>
      </w:r>
      <w:r/>
    </w:p>
    <w:p>
      <w:pPr>
        <w:pStyle w:val="ListNumber"/>
        <w:spacing w:line="240" w:lineRule="auto"/>
        <w:ind w:left="720"/>
      </w:pPr>
      <w:r/>
      <w:hyperlink r:id="rId11">
        <w:r>
          <w:rPr>
            <w:color w:val="0000EE"/>
            <w:u w:val="single"/>
          </w:rPr>
          <w:t>https://www.ft.com/content/92a18fb0-7df1-4007-a51d-05249f6214cb</w:t>
        </w:r>
      </w:hyperlink>
      <w:r>
        <w:t xml:space="preserve"> - Despite Chancellor Rachel Reeves' announcement of a record £39bn, decade-long investment in affordable and social housing in England, analysis reveals that actual yearly allocations are less generous than presented. The plan provides around £3bn annually until 2029, increasing to £4.5bn by 2035/6, which is comparable to current spending. Ben Zaranko of the Institute for Fiscal Studies noted that the early years of the programme involve similar expenditure levels to the current Affordable Homes Programme (AHP), averaging £3.3bn in 2025. Most of the spending is backloaded, with approximately £9bn allocated between 2026-2029 and the remaining £30bn over the following seven years, assuming a 2.3% inflation rate. Critics argue that the initiative falls short of the transformative changes promised, particularly as the government aims to build 1.5 million homes this parliament amid a housing crisis. While the government touts the programme as a landmark in housing investment, many in the sector caution that the headline figures require scrutiny and that real spending increases will be modest in the short term. Nonetheless, officials highlight the certainty offered by long-term funding and note the sector's broadly positive reception.</w:t>
      </w:r>
      <w:r/>
    </w:p>
    <w:p>
      <w:pPr>
        <w:pStyle w:val="ListNumber"/>
        <w:spacing w:line="240" w:lineRule="auto"/>
        <w:ind w:left="720"/>
      </w:pPr>
      <w:r/>
      <w:hyperlink r:id="rId12">
        <w:r>
          <w:rPr>
            <w:color w:val="0000EE"/>
            <w:u w:val="single"/>
          </w:rPr>
          <w:t>https://www.ft.com/content/46018985-5f37-41f3-82d0-52c75e8ca024</w:t>
        </w:r>
      </w:hyperlink>
      <w:r>
        <w:t xml:space="preserve"> - The article highlights historical insights from Victorian-era infrastructure financing to address modern challenges in UK infrastructure investment. During the 19th century, projects like London’s sewerage system were locally financed through hypothecated funding mechanisms, such as municipal bonds and levies, allowing regions to raise funds independently and ensuring funding aligned with delivery responsibilities. This decentralized approach facilitated substantial infrastructure growth and minimized strain on central government finances. In contrast, today's highly centralized UK system—managed primarily through Treasury allotments—increases fiscal pressure and inhibits effective project delivery. Recent governmental announcements, such as Chancellor Rachel Reeves’s investment plans, are insufficient for large-scale infrastructure needs, such as new towns, due to a considerable funding gap. Although Reeves supports public investment to attract private capital, the approach lacks the scale needed. The article suggests reviving the development corporation model and leveraging land value capture, as enabled by the 2023 Levelling Up and Regeneration Act, to address these deficits. Ultimately, the author advocates for adopting Victorian-style decentralized financing, which aligns funding with project delivery and uses future cash flows rather than risky tax receipt projections, to foster sustainable infrastructure growth and ease public financial burdens.</w:t>
      </w:r>
      <w:r/>
    </w:p>
    <w:p>
      <w:pPr>
        <w:pStyle w:val="ListNumber"/>
        <w:spacing w:line="240" w:lineRule="auto"/>
        <w:ind w:left="720"/>
      </w:pPr>
      <w:r/>
      <w:hyperlink r:id="rId13">
        <w:r>
          <w:rPr>
            <w:color w:val="0000EE"/>
            <w:u w:val="single"/>
          </w:rPr>
          <w:t>https://www.ft.com/content/24917c3f-47e7-4db0-b548-086bc1dd59dc</w:t>
        </w:r>
      </w:hyperlink>
      <w:r>
        <w:t xml:space="preserve"> - The UK government's HS2 high-speed rail project is facing significant delays and mounting costs, according to Transport Secretary Heidi Alexander. Initially projected at £30bn in 2010 for a line connecting London, Manchester, and Leeds, costs have ballooned to £80bn for a reduced line only reaching Birmingham, now expected to open in the mid-to-late 2030s instead of 2026. Alexander blamed the previous Conservative administration for mismanagement, expensive scope changes, and ignored expert recommendations. She highlighted fraud allegations in the supply chain and inefficient planning, like spending £2bn on a now-cancelled leg and commissioning two costly, unused Euston station designs. A review by HS2 CEO Mark Wild deemed the current schedule and budget unsustainable and suggested initial operations may begin at reduced speeds to expedite the launch. Additional reviews identified a lack of skills, trust, and effective contracts. In response, Alexander appointed Mike Brown as new HS2 chair and announced governance reforms including oversight boards. The government will provide further details in its upcoming 10-year infrastructure plan, aiming to rectify past errors and regain credibility in large-scale project delivery.</w:t>
      </w:r>
      <w:r/>
    </w:p>
    <w:p>
      <w:pPr>
        <w:pStyle w:val="ListNumber"/>
        <w:spacing w:line="240" w:lineRule="auto"/>
        <w:ind w:left="720"/>
      </w:pPr>
      <w:r/>
      <w:hyperlink r:id="rId14">
        <w:r>
          <w:rPr>
            <w:color w:val="0000EE"/>
            <w:u w:val="single"/>
          </w:rPr>
          <w:t>https://www.ft.com/content/2355490c-78aa-4df2-abb4-d0afb48ccb1f</w:t>
        </w:r>
      </w:hyperlink>
      <w:r>
        <w:t xml:space="preserve"> - Rachel Reeves' recent spending review echoes Gordon Brown’s rhetorical style, presenting a confusing array of figures that complicate public understanding of Labour’s fiscal choices. While designed to position Reeves as a prudent yet purpose-driven chancellor, the lack of clarity undermines informed analysis. The review indicates a modest 1.7% real growth in day-to-day public service spending from 2023-24 to 2028-29, matching the pace seen under Tory predecessors, with the NHS receiving the bulk—90%—of this growth. Capital spending favors defense and net zero initiatives, notably nuclear projects framed as job creators more than productivity boosters. Despite these allocations, practical impacts remain uncertain; frontline service providers often face delayed or inconsistently distributed resources, as illustrated by schools coping with unfunded refugee needs. Furthermore, schools are expected to absorb staff pay increases without full funding, straining budgets. The document critiques the government’s deprioritization of value-for-money assessments in public investment decisions. Overall, Reeves’ review avoids austerity but offers minimal real change, and amidst declining public sector productivity, public expectations may remain unmet without substantial economic improvement. The writer — an economist, school governor, and public service user — highlights the tension between political messaging and practical outcomes.</w:t>
      </w:r>
      <w:r/>
    </w:p>
    <w:p>
      <w:pPr>
        <w:pStyle w:val="ListNumber"/>
        <w:spacing w:line="240" w:lineRule="auto"/>
        <w:ind w:left="720"/>
      </w:pPr>
      <w:r/>
      <w:hyperlink r:id="rId15">
        <w:r>
          <w:rPr>
            <w:color w:val="0000EE"/>
            <w:u w:val="single"/>
          </w:rPr>
          <w:t>https://www.ft.com/content/ec8cc0c7-1dee-49be-9319-d7bf69fe198d</w:t>
        </w:r>
      </w:hyperlink>
      <w:r>
        <w:t xml:space="preserve"> - Kate Henderson, Chief Executive of the National Housing Federation, supports the UK's Chancellor's plan to provide social housing providers with long-term income certainty via a 10-year rent settlement. This would allow annual rent increases based on the CPI measure of inflation plus 1%. The stability is crucial for rebuilding the sector's capacity following severe budget cuts. Previously, the government's inflation-linked rent increase formula ensured income stability until the Conservative government imposed rent cuts and caps between 2016 and 2023, reducing housing associations' income by an estimated £3 billion. Today, rents are 15% lower in real terms compared to 2015, coinciding with increased costs to enhance building safety post-Grenfell Tower fire. Current funding for safety upgrades only aids private homeowners, not social housing. This has resulted in a 30% drop in new affordable housing developments. A long-term rent settlement is essential for the sector to meet the government's goal of building 1.5 million homes and to address the record-high number of children in temporary accommodation.</w:t>
      </w:r>
      <w:r/>
    </w:p>
    <w:p>
      <w:pPr>
        <w:pStyle w:val="ListNumber"/>
        <w:spacing w:line="240" w:lineRule="auto"/>
        <w:ind w:left="720"/>
      </w:pPr>
      <w:r/>
      <w:hyperlink r:id="rId16">
        <w:r>
          <w:rPr>
            <w:color w:val="0000EE"/>
            <w:u w:val="single"/>
          </w:rPr>
          <w:t>https://www.homebuilding.co.uk/news/affordable-homes-programme</w:t>
        </w:r>
      </w:hyperlink>
      <w:r>
        <w:t xml:space="preserve"> - The British government has increased funding for the Affordable Homes Programme by £2 billion, aimed at constructing up to 18,000 new homes across the country. Launched in 2021, the programme's budget has now reached nearly £14.5 billion, targeting the creation of 180,000 affordable homes. This funding will also support the regeneration of outdated housing, enhancing quality and energy efficiency. However, self-builders and smaller developers may face challenges. Experts predict varied impacts on the industry, with some emphasizing the need for rapid delivery and regeneration, while concerns remain about the effect on small and medium-sized builders. The government plans to provide more details during the upcoming Spending Review.</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ityam.com/labour-must-not-overlook-london-when-it-comes-to-infrastructure-spending/" TargetMode="External"/><Relationship Id="rId11" Type="http://schemas.openxmlformats.org/officeDocument/2006/relationships/hyperlink" Target="https://www.ft.com/content/92a18fb0-7df1-4007-a51d-05249f6214cb" TargetMode="External"/><Relationship Id="rId12" Type="http://schemas.openxmlformats.org/officeDocument/2006/relationships/hyperlink" Target="https://www.ft.com/content/46018985-5f37-41f3-82d0-52c75e8ca024" TargetMode="External"/><Relationship Id="rId13" Type="http://schemas.openxmlformats.org/officeDocument/2006/relationships/hyperlink" Target="https://www.ft.com/content/24917c3f-47e7-4db0-b548-086bc1dd59dc" TargetMode="External"/><Relationship Id="rId14" Type="http://schemas.openxmlformats.org/officeDocument/2006/relationships/hyperlink" Target="https://www.ft.com/content/2355490c-78aa-4df2-abb4-d0afb48ccb1f" TargetMode="External"/><Relationship Id="rId15" Type="http://schemas.openxmlformats.org/officeDocument/2006/relationships/hyperlink" Target="https://www.ft.com/content/ec8cc0c7-1dee-49be-9319-d7bf69fe198d" TargetMode="External"/><Relationship Id="rId16" Type="http://schemas.openxmlformats.org/officeDocument/2006/relationships/hyperlink" Target="https://www.homebuilding.co.uk/news/affordable-homes-program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