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economic and regulatory frontier accelerates with groundbreaking research and supply chain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continues to transform numerous sectors, from technology and regulation to education and scientific research, underscoring its growing role as a foundational economic and social infrastructure.</w:t>
      </w:r>
      <w:r/>
    </w:p>
    <w:p>
      <w:r/>
      <w:r>
        <w:t>Nvidia recently reported a record quarterly revenue of $57 billion, driven predominantly by soaring demand for AI accelerators used in data centres and model training. This robust performance eases some fears of an AI stock bubble, though investor scepticism remains about whether AI represents a durable economic revolution or a transient hype surge. Analysts diverge, with some likening AI’s platform shift to the advent of the internet or electrification, forecasting AI-related spending to reach around $500 billion by 2026. Others caution that AI’s real-world revenue lags behind investments in hardware, risking overcapacity and potential losses. Notably, AI capital expenditure has already contributed approximately 0.5 percentage points to U.S. GDP growth in early 2025, constituting about a third of overall economic expansion.</w:t>
      </w:r>
      <w:r/>
    </w:p>
    <w:p>
      <w:r/>
      <w:r>
        <w:t>In parallel, global supply chains for AI hardware are rapidly evolving. Hon Hai Precision Industry (Foxconn), in partnership with OpenAI, announced progress on manufacturing next-generation AI infrastructure in the United States. Research and development will commence in San Jose, California, before transitioning to an Ohio-based Foxconn facility repurposed from electric vehicle manufacturing to AI data-centre production. This collaboration aims to strengthen the U.S. AI hardware supply chain by focusing on components such as cabling, networking, and cooling systems optimised for large AI workloads. OpenAI receives early access to these systems with potential purchase options, reflecting a strategic drive to localise core AI technologies domestically. This builds on Foxconn’s broader ambitions, including plans to develop an Nvidia GB300-powered AI data centre in Taiwan by mid-2026.</w:t>
      </w:r>
      <w:r/>
    </w:p>
    <w:p>
      <w:r/>
      <w:r>
        <w:t>Technological advances at the chip level are also crucial. Nvidia recently unveiled its first Blackwell chip wafer produced at Taiwan Semiconductor Manufacturing Company’s (TSMC) Phoenix, Arizona, facility. These advanced wafers leverage cutting-edge semiconductor technologies vital for AI, telecommunications, and high-performance computing, supporting the U.S. agenda of technological sovereignty. Meanwhile, South Korean semiconductor producer SK Hynix reported a record profit, underpinned by surging demand for generative AI chipsets, though the firm warns of price pressures in basic memory chips amidst growing competition.</w:t>
      </w:r>
      <w:r/>
    </w:p>
    <w:p>
      <w:r/>
      <w:r>
        <w:t>Amid these technological leaps, AI is increasingly permeating everyday life and raising regulatory challenges. In the United States, legislative efforts to centralise AI regulation by banning most new state-level AI laws face strong bipartisan opposition. Critics argue such preemption would weaken states’ rights and regulatory scrutiny, effectively benefiting large tech companies while leaving safety guardrails insufficient. More than half of U.S. states have enacted AI-focused laws this year addressing transparency, health care protections, and online safety. A TIME op-ed has emphasised concerns that blocking state regulation could endanger children, citing increasing incidents of AI systems interacting inappropriately with minors and the importance of state guardrails for children’s safety. Across the Atlantic, the European Commission proposed delaying enforcement of strict “high-risk” AI rules until late 2027, following extensive industry lobbying. These rules cover biometric identification, surveillance, and applications in health and credit scoring, amid privacy rule adjustments that may allow expanded use of European personal data for AI training under controlled conditions. Critics worry this may soften regulatory safeguards as AI systems become deeply embedded in daily life.</w:t>
      </w:r>
      <w:r/>
    </w:p>
    <w:p>
      <w:r/>
      <w:r>
        <w:t>The expanding presence of AI in children’s environments has also sparked warnings from advocacy groups. Ahead of the holiday season, organisations like Fairplay and U.S. PIRG caution against AI-powered toys marketed to very young children. Tests revealed instances where AI chatbots embedded in toys could discuss inappropriate topics or suggest dangerous items, sometimes with inadequate parental controls. Child development experts stress that such AI companions may hinder imaginative play and reduce interaction crucial for creativity and language development. Toy manufacturers tout safety features and parental dashboards, but experts recommend prioritising low-tech toys and human interaction for younger kids.</w:t>
      </w:r>
      <w:r/>
    </w:p>
    <w:p>
      <w:r/>
      <w:r>
        <w:t>In a more structured educational approach, Greece is launching a pilot programme incorporating a customised version of ChatGPT, known as ChatGPT Edu, into 20 secondary schools. Teachers receive intensive training on deploying AI for lesson planning, research, and personalised tutoring, with a national rollout planned for January and student access to follow in spring. Officials frame this move as preparing students for an AI-driven economy, though some educators and students voice concerns about impacts on creativity, critical thinking, and screen time, particularly in a country simultaneously considering restrictions on social media access for under-15s. OpenAI has committed to ensuring safe and effective classroom use, amid ongoing debates on whether such integration represents educational innovation or experimentation with unproven technology.</w:t>
      </w:r>
      <w:r/>
    </w:p>
    <w:p>
      <w:r/>
      <w:r>
        <w:t>In healthcare, an emergent trend sees patients leveraging AI tools to contend with AI-driven insurance claim denials. Services like Sheer Health and the nonprofit Counterforce Health use AI-assisted review and appeal drafting to help patients navigate complex insurance systems. Public usage data indicate a significant share of younger adults rely on AI chatbots for health information, prompting over a dozen states to introduce AI regulations in healthcare this year. Experts caution this dynamic creates a “robotic tug-of-war” between insurers’ and patients’ AI, with critical decisions still requiring human oversight.</w:t>
      </w:r>
      <w:r/>
    </w:p>
    <w:p>
      <w:r/>
      <w:r>
        <w:t>Parallel to commercial endeavours, academic research is advancing AI applications for mental and behavioural health. Brown University recently established a national AI Research Institute focused on improving AI assistants in sensitive contexts such as mental health support. Funded by a $20 million grant from the U.S. National Science Foundation, the institute emphasises trustworthiness, interpretability, adaptability, and participatory design involving clinicians and patients. Researchers aim to develop standards and tools, potentially including trustworthiness ratings akin to consumer reports, to ensure AI supplements rather than replaces professional care.</w:t>
      </w:r>
      <w:r/>
    </w:p>
    <w:p>
      <w:r/>
      <w:r>
        <w:t>At the scientific frontier, researchers at Japan’s RIKEN institute have created a digital twin of the Milky Way, simulating 100 billion stars over 10,000 years. Using a hybrid approach, traditional high-resolution physics simulations model complex phenomena like supernovae, while AI surrogate models predict longer-term gas expansion effects. This technique dramatically reduces computational demands, enabling galaxy-wide dynamic studies previously unfeasible within practical timeframes. Such AI-accelerated simulations hold promise for other complex domains like climate science and oceanography.</w:t>
      </w:r>
      <w:r/>
    </w:p>
    <w:p>
      <w:r/>
      <w:r>
        <w:t>Innovations in human-machine interfaces include the development of a soft, wearable AI patch by engineers at UC San Diego. This device enables users to control robots via simple gestures, even amid turbulent or dynamic environments. Combining stretchable sensors, Bluetooth microcontrollers, and onboard deep learning models trained on noisy real-world data, the patch filters motion noise to reliably interpret commands. Potential applications range from assistive robotics for mobility-impaired individuals to hands-free controls for industrial workers and first responders, as well as underwater robotics where conventional controllers struggle.</w:t>
      </w:r>
      <w:r/>
    </w:p>
    <w:p>
      <w:r/>
      <w:r>
        <w:t>Collectively, these developments illustrate the expanding role of AI as a critical economic infrastructure akin to railroads or power plants. The complex global supply chains, from Ohio to Taiwan, and efforts to optimise hardware utilisation through software reflect the depth of this transformation. Simultaneously, fragmented regulatory landscapes in the U.S. and Europe highlight ongoing governance challenges. As AI increasingly interweaves into education, consumer products, healthcare, and scientific research, urgent questions arise concerning safety, oversight, consent, and the balance between human and automated decision-making. The choices made today around AI’s integration and regulation will set enduring precedents for future decades.</w:t>
      </w:r>
      <w:r/>
    </w:p>
    <w:p>
      <w:pPr>
        <w:pBdr>
          <w:bottom w:val="single" w:sz="6" w:space="1" w:color="auto"/>
        </w:pBdr>
      </w:pPr>
      <w:r/>
    </w:p>
    <w:p>
      <w:pPr>
        <w:pStyle w:val="Heading3"/>
      </w:pPr>
      <w:r>
        <w:t>📌 Reference Map:</w:t>
      </w:r>
      <w:r/>
      <w:r/>
    </w:p>
    <w:p>
      <w:pPr>
        <w:pStyle w:val="ListBullet"/>
        <w:spacing w:line="240" w:lineRule="auto"/>
        <w:ind w:left="720"/>
      </w:pPr>
      <w:r/>
      <w:hyperlink r:id="rId9">
        <w:r>
          <w:rPr>
            <w:color w:val="0000EE"/>
            <w:u w:val="single"/>
          </w:rPr>
          <w:t>[1]</w:t>
        </w:r>
      </w:hyperlink>
      <w:r>
        <w:t xml:space="preserve"> TS2 Tech - Entire article </w:t>
      </w:r>
      <w:r/>
    </w:p>
    <w:p>
      <w:pPr>
        <w:pStyle w:val="ListBullet"/>
        <w:spacing w:line="240" w:lineRule="auto"/>
        <w:ind w:left="720"/>
      </w:pPr>
      <w:r/>
      <w:hyperlink r:id="rId10">
        <w:r>
          <w:rPr>
            <w:color w:val="0000EE"/>
            <w:u w:val="single"/>
          </w:rPr>
          <w:t>[2]</w:t>
        </w:r>
      </w:hyperlink>
      <w:r>
        <w:t xml:space="preserve"> AP News - Paragraphs 3, 4 </w:t>
      </w:r>
      <w:r/>
    </w:p>
    <w:p>
      <w:pPr>
        <w:pStyle w:val="ListBullet"/>
        <w:spacing w:line="240" w:lineRule="auto"/>
        <w:ind w:left="720"/>
      </w:pPr>
      <w:r/>
      <w:hyperlink r:id="rId11">
        <w:r>
          <w:rPr>
            <w:color w:val="0000EE"/>
            <w:u w:val="single"/>
          </w:rPr>
          <w:t>[3]</w:t>
        </w:r>
      </w:hyperlink>
      <w:r>
        <w:t xml:space="preserve"> Reuters - Paragraph 5 </w:t>
      </w:r>
      <w:r/>
    </w:p>
    <w:p>
      <w:pPr>
        <w:pStyle w:val="ListBullet"/>
        <w:spacing w:line="240" w:lineRule="auto"/>
        <w:ind w:left="720"/>
      </w:pPr>
      <w:r/>
      <w:hyperlink r:id="rId12">
        <w:r>
          <w:rPr>
            <w:color w:val="0000EE"/>
            <w:u w:val="single"/>
          </w:rPr>
          <w:t>[4]</w:t>
        </w:r>
      </w:hyperlink>
      <w:r>
        <w:t xml:space="preserve"> Tom's Hardware - Paragraph 2 </w:t>
      </w:r>
      <w:r/>
    </w:p>
    <w:p>
      <w:pPr>
        <w:pStyle w:val="ListBullet"/>
        <w:spacing w:line="240" w:lineRule="auto"/>
        <w:ind w:left="720"/>
      </w:pPr>
      <w:r/>
      <w:hyperlink r:id="rId13">
        <w:r>
          <w:rPr>
            <w:color w:val="0000EE"/>
            <w:u w:val="single"/>
          </w:rPr>
          <w:t>[5]</w:t>
        </w:r>
      </w:hyperlink>
      <w:r>
        <w:t xml:space="preserve"> Reuters - Paragraph 5 </w:t>
      </w:r>
      <w:r/>
    </w:p>
    <w:p>
      <w:pPr>
        <w:pStyle w:val="ListBullet"/>
        <w:spacing w:line="240" w:lineRule="auto"/>
        <w:ind w:left="720"/>
      </w:pPr>
      <w:r/>
      <w:hyperlink r:id="rId14">
        <w:r>
          <w:rPr>
            <w:color w:val="0000EE"/>
            <w:u w:val="single"/>
          </w:rPr>
          <w:t>[6]</w:t>
        </w:r>
      </w:hyperlink>
      <w:r>
        <w:t xml:space="preserve"> Lock Haven - Paragraph 9 </w:t>
      </w:r>
      <w:r/>
    </w:p>
    <w:p>
      <w:pPr>
        <w:pStyle w:val="ListBullet"/>
        <w:spacing w:line="240" w:lineRule="auto"/>
        <w:ind w:left="720"/>
      </w:pPr>
      <w:r/>
      <w:hyperlink r:id="rId15">
        <w:r>
          <w:rPr>
            <w:color w:val="0000EE"/>
            <w:u w:val="single"/>
          </w:rPr>
          <w:t>[7]</w:t>
        </w:r>
      </w:hyperlink>
      <w:r>
        <w:t xml:space="preserve"> Universe Today - Paragraph 14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https://ts2.tech/en/ai-news-today-november-22-2025-nvidias-mega-earnings-regulation-battles-classroom-chatbots-and-cosmic-simulations/</w:t>
        </w:r>
      </w:hyperlink>
      <w:r>
        <w:t xml:space="preserve"> - Please view link - unable to able to access data</w:t>
      </w:r>
      <w:r/>
    </w:p>
    <w:p>
      <w:pPr>
        <w:pStyle w:val="ListNumber"/>
        <w:spacing w:line="240" w:lineRule="auto"/>
        <w:ind w:left="720"/>
      </w:pPr>
      <w:r/>
      <w:hyperlink r:id="rId10">
        <w:r>
          <w:rPr>
            <w:color w:val="0000EE"/>
            <w:u w:val="single"/>
          </w:rPr>
          <w:t>https://apnews.com/article/b022977e34c23f5f3ddf7522817accfe</w:t>
        </w:r>
      </w:hyperlink>
      <w:r>
        <w:t xml:space="preserve"> - OpenAI and Taiwanese electronics giant Foxconn have announced a partnership to co-design and manufacture key equipment for artificial intelligence (AI) data centers in the U.S. This collaboration aims to strengthen American AI infrastructure by producing components like cabling, networking, and power systems at Foxconn's U.S. facilities. OpenAI will have early access to evaluate and potentially purchase these products. The partnership reflects Foxconn's strategic diversification into sectors like electric vehicles and AI computing, with OpenAI emphasizing the importance of building core AI technology domestically to share AI benefits broadly.</w:t>
      </w:r>
      <w:r/>
    </w:p>
    <w:p>
      <w:pPr>
        <w:pStyle w:val="ListNumber"/>
        <w:spacing w:line="240" w:lineRule="auto"/>
        <w:ind w:left="720"/>
      </w:pPr>
      <w:r/>
      <w:hyperlink r:id="rId11">
        <w:r>
          <w:rPr>
            <w:color w:val="0000EE"/>
            <w:u w:val="single"/>
          </w:rPr>
          <w:t>https://www.reuters.com/technology/nvidia-tsmc-unveil-first-blackwell-chip-wafer-made-us-axios-reports-2025-10-17/</w:t>
        </w:r>
      </w:hyperlink>
      <w:r>
        <w:t xml:space="preserve"> - Nvidia has unveiled its first Blackwell chip wafer manufactured in the U.S. at TSMC's semiconductor facility in Phoenix, Arizona. This development supports the U.S. AI supply chain and aligns with President Donald Trump’s agenda to reinforce American technological and manufacturing leadership. The advanced wafers, including cutting-edge 2nm, 3nm, 4nm, and A16 chip technologies, are crucial for artificial intelligence, telecommunications, and high-performance computing applications. The announcement reflects the intensifying collaboration between AI firms and chip manufacturers to expand data center infrastructure.</w:t>
      </w:r>
      <w:r/>
    </w:p>
    <w:p>
      <w:pPr>
        <w:pStyle w:val="ListNumber"/>
        <w:spacing w:line="240" w:lineRule="auto"/>
        <w:ind w:left="720"/>
      </w:pPr>
      <w:r/>
      <w:hyperlink r:id="rId12">
        <w:r>
          <w:rPr>
            <w:color w:val="0000EE"/>
            <w:u w:val="single"/>
          </w:rPr>
          <w:t>https://www.tomshardware.com/pc-components/gpus/nvidia-posts-usd46-billion-revenue-in-another-record-quarter-data-center-and-gaming-gpu-sales-break-records</w:t>
        </w:r>
      </w:hyperlink>
      <w:r>
        <w:t xml:space="preserve"> - In Q2 FY2026, Nvidia reported a record revenue of $46.743 billion, marking a 56% year-over-year and 6% quarter-over-quarter increase. AI GPU sales dominated, making up 88% of the revenue, underlining Nvidia's leadership in the AI hardware sector. Net income soared to $26.4 billion despite gross margins dropping to 72.4% due to a $180 million charge linked to banned sales in China. Data center revenue exceeded $41.1 billion for the first time, driven largely by strong demand for Blackwell GPUs and NVL72 networking systems.</w:t>
      </w:r>
      <w:r/>
    </w:p>
    <w:p>
      <w:pPr>
        <w:pStyle w:val="ListNumber"/>
        <w:spacing w:line="240" w:lineRule="auto"/>
        <w:ind w:left="720"/>
      </w:pPr>
      <w:r/>
      <w:hyperlink r:id="rId13">
        <w:r>
          <w:rPr>
            <w:color w:val="0000EE"/>
            <w:u w:val="single"/>
          </w:rPr>
          <w:t>https://www.reuters.com/technology/nvidia-supplier-sk-hynix-posts-record-quarterly-profit-2025-01-22/</w:t>
        </w:r>
      </w:hyperlink>
      <w:r>
        <w:t xml:space="preserve"> - South Korean company SK Hynix reported a record quarterly profit of 8.1 trillion won ($5.64 billion) in the fourth quarter, surpassing its competitor Samsung for the first time. The company expects sales of its high-end semiconductors, used in generative AI chipsets, to double this year. However, SK Hynix's shares fell 4% due to warnings about falling prices in basic memory chips amid decreased demand and increased competition from Chinese companies. The company has outperformed rivals, including Micron Technology, thanks to early entry and significant investments in HBM chip development.</w:t>
      </w:r>
      <w:r/>
    </w:p>
    <w:p>
      <w:pPr>
        <w:pStyle w:val="ListNumber"/>
        <w:spacing w:line="240" w:lineRule="auto"/>
        <w:ind w:left="720"/>
      </w:pPr>
      <w:r/>
      <w:hyperlink r:id="rId14">
        <w:r>
          <w:rPr>
            <w:color w:val="0000EE"/>
            <w:u w:val="single"/>
          </w:rPr>
          <w:t>https://www.lockhaven.com/news/2025/11/22/advocacy-groups-warn-parents-away-from-ai-toys-this-holiday-season/</w:t>
        </w:r>
      </w:hyperlink>
      <w:r>
        <w:t xml:space="preserve"> - With the holiday shopping season underway, children’s advocacy groups are sounding the alarm on AI-powered toys marketed to kids as young as two years old. The group Fairplay, backed by more than 150 organizations and experts, warns that toys built on general-purpose chatbots can discuss sexually explicit topics, suggest dangerous items like knives, and form unhealthy emotional dependencies, sometimes with limited parental controls. U.S. PIRG’s latest “Trouble in Toyland” report says some AI toys explored dark or inappropriate content during tests, prompting at least one manufacturer to pull a product from the market.</w:t>
      </w:r>
      <w:r/>
    </w:p>
    <w:p>
      <w:pPr>
        <w:pStyle w:val="ListNumber"/>
        <w:spacing w:line="240" w:lineRule="auto"/>
        <w:ind w:left="720"/>
      </w:pPr>
      <w:r/>
      <w:hyperlink r:id="rId15">
        <w:r>
          <w:rPr>
            <w:color w:val="0000EE"/>
            <w:u w:val="single"/>
          </w:rPr>
          <w:t>https://www.universetoday.com/2025/11/22/ai-simulates-every-star-in-the-milky-way/</w:t>
        </w:r>
      </w:hyperlink>
      <w:r>
        <w:t xml:space="preserve"> - Researchers at RIKEN’s Center for Interdisciplinary Theoretical and Mathematical Sciences have unveiled a digital twin of the Milky Way, simulating all 100 billion stars over 10,000 years of galactic time. They used traditional high-resolution physics simulations to model complex events like supernova explosions, then trained a deep-learning surrogate model to predict how gas expands for tens of thousands of years after each blast. This AI shortcut handles the ultra-fast, small-scale physics, freeing the main simulation to track the galaxy-wide dynamics without needing decades of supercomputer time.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ai-news-today-november-22-2025-nvidias-mega-earnings-regulation-battles-classroom-chatbots-and-cosmic-simulations/" TargetMode="External"/><Relationship Id="rId10" Type="http://schemas.openxmlformats.org/officeDocument/2006/relationships/hyperlink" Target="https://apnews.com/article/b022977e34c23f5f3ddf7522817accfe" TargetMode="External"/><Relationship Id="rId11" Type="http://schemas.openxmlformats.org/officeDocument/2006/relationships/hyperlink" Target="https://www.reuters.com/technology/nvidia-tsmc-unveil-first-blackwell-chip-wafer-made-us-axios-reports-2025-10-17/" TargetMode="External"/><Relationship Id="rId12" Type="http://schemas.openxmlformats.org/officeDocument/2006/relationships/hyperlink" Target="https://www.tomshardware.com/pc-components/gpus/nvidia-posts-usd46-billion-revenue-in-another-record-quarter-data-center-and-gaming-gpu-sales-break-records" TargetMode="External"/><Relationship Id="rId13" Type="http://schemas.openxmlformats.org/officeDocument/2006/relationships/hyperlink" Target="https://www.reuters.com/technology/nvidia-supplier-sk-hynix-posts-record-quarterly-profit-2025-01-22/" TargetMode="External"/><Relationship Id="rId14" Type="http://schemas.openxmlformats.org/officeDocument/2006/relationships/hyperlink" Target="https://www.lockhaven.com/news/2025/11/22/advocacy-groups-warn-parents-away-from-ai-toys-this-holiday-season/" TargetMode="External"/><Relationship Id="rId15" Type="http://schemas.openxmlformats.org/officeDocument/2006/relationships/hyperlink" Target="https://www.universetoday.com/2025/11/22/ai-simulates-every-star-in-the-milky-w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