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The year AI regulatory clarity finally takes shape amid industry evolution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As artificial intelligence (AI) transitions from a phase of rapid emergence to one of maturity, 2026 is set to be a pivotal year for organisations navigating this evolving landscape. The initial excitement and speculation around AI have matured into a more structured and complex reality where practical application and regulatory compliance take centre stage. The focus shifts from “what if” to “how” as businesses and policymakers grapple with integrating AI responsibly and effectively into their operations.</w:t>
      </w:r>
      <w:r/>
    </w:p>
    <w:p>
      <w:r/>
      <w:r>
        <w:t>A major development shaping this transition is the impending enforcement of the European Union’s Artificial Intelligence Act (EU AI Act), particularly its provisions regarding high-risk AI systems. By this stage, organisations subject to the Act are expected to have identified and classified their AI systems, phased out banned practices, and begun training their workforce on AI literacy. The high-risk AI obligations, affecting areas such as biometric identification, health services, credit scoring, law enforcement, and autonomous driving, were originally set to become enforceable on 2 August 2026. These systems, classified under Annex III and Annex I of the legislation, must meet rigorous demands, including risk and quality management, human oversight mechanisms, cybersecurity resilience, and detailed technical documentation to prove compliance.</w:t>
      </w:r>
      <w:r/>
    </w:p>
    <w:p>
      <w:r/>
      <w:r>
        <w:t>However, regulatory uncertainty clouds the precise timing of compliance obligations. The European Commission’s "Digital Omnibus" legislative proposal, unveiled in November 2025, seeks to postpone the application of key Chapter III requirements until comprehensive harmonised technical standards are published, standards that are now delayed from their initial 2025 deadlines to potentially late 2026 or beyond. This Omnibus suggests a flexible timeline: obligations would come into force only after a formal Commission decision on these standards, followed by additional transition periods; if no such decision occurs, a fallback deadline of December 2027 would apply instead. The proposal reflects the challenge that providers and deployers face in meeting exacting regulatory demands without clear-cut technical guidance, thereby prolonging a period of compliance ambiguity.</w:t>
      </w:r>
      <w:r/>
    </w:p>
    <w:p>
      <w:r/>
      <w:r>
        <w:t>Preparation for high-risk AI compliance is nonetheless imperative and ongoing. Companies using or supplying these systems are advised to establish robust risk management systems, ensure dataset quality, enable human oversight to mitigate automation bias, protect AI systems from tampering, and maintain thorough technical documentation. In the absence of harmonised standards, leveraging existing generic standards may serve as an interim compliance framework, particularly for industries with extended research and development cycles, such as pharmaceuticals and automotive manufacturing, where AI integration is deep-rooted and sensitive to delays.</w:t>
      </w:r>
      <w:r/>
    </w:p>
    <w:p>
      <w:r/>
      <w:r>
        <w:t>In parallel, the regulation of general-purpose AI (GPAI) models has advanced with the introduction of a voluntary Code of Practice (CoP) published in July 2025. While this CoP offers a framework for providers to demonstrate AI Act conformity, uncertainties remain, particularly around requirements such as lawful content reproduction from web crawling without clear authoritative guidance. Further CoPs, notably for marking and labelling AI-generated content, are anticipated in 2026, potentially learning from these early challenges.</w:t>
      </w:r>
      <w:r/>
    </w:p>
    <w:p>
      <w:r/>
      <w:r>
        <w:t>Transparency mandates under the AI Act also spotlight the imperative for clear identification of AI-generated outputs, particularly synthetic audio, images, videos, and texts. Developers and deployers must ensure this content is marked in a machine-readable format, facilitating user awareness of AI involvement. The European Commission has engaged with industry stakeholders to develop a Code of Practice on such marking and labelling, aiming to address concerns over consumer transparency and potential misuse, especially in media contexts involving deepfakes. However, technical and practical challenges persist, such as watermark removal techniques and subtler linguistic markers for AI-text disclosure. Prominent tech firms, including OpenAI and TikTok, are experimenting with watermarking technologies, though regulatory deadlines for watermarking remain firm despite preliminary proposals for delay.</w:t>
      </w:r>
      <w:r/>
    </w:p>
    <w:p>
      <w:r/>
      <w:r>
        <w:t>The Digital Omnibus also proposes important revisions to personal data regulations intertwined with AI operations, affecting the EU’s broader data landscape, including GDPR application to AI training and usage. Notably, a new provision allowing the processing of personal data under “legitimate interest” for AI development and operation could ease restrictions, albeit with safeguards such as data minimisation and transparency. This aspect is attracting scrutiny from privacy advocates concerned about potential erosion of user rights, and its legislative fate remains uncertain. Similar regulatory adaptations may extend beyond the EU, influencing frameworks like the UK’s evolving GDPR.</w:t>
      </w:r>
      <w:r/>
    </w:p>
    <w:p>
      <w:r/>
      <w:r>
        <w:t>Copyright and intellectual property concerns are another arena of focus in 2026. A recent German court ruling that OpenAI infringed copyright by using song lyrics in its training data marks a potential inflection point from debates on infringement to mechanisms ensuring creator compensation. Stakeholders foresee the emergence of collective licensing models for AI training datasets analogous to music royalty management, providing a scalable solution to the complex rights landscape that individual licensing cannot feasibly address.</w:t>
      </w:r>
      <w:r/>
    </w:p>
    <w:p>
      <w:r/>
      <w:r>
        <w:t>In the liability domain, the withdrawal of the EU’s AI Liability Directive proposal in October 2025 leaves a regulatory gap in addressing AI-related damages under harmonised EU law. Existing national liability regimes will continue to govern disputes, prompting increased emphasis on responsible AI governance, thorough documentation, risk mitigation, and explainability as legal safeguards in litigation. Correspondingly, the insurance sector is expected to innovate, offering new products attuned to the unique liabilities of AI risks distinct from traditional cyber insurance policies.</w:t>
      </w:r>
      <w:r/>
    </w:p>
    <w:p>
      <w:r/>
      <w:r>
        <w:t>From an operational standpoint, AI agents, intelligent systems capable of independently performing multi-step tasks, are advancing from experimental tools to embedded team members within redesigned workflows. Industry analyses, such as McKinsey’s 2025 global AI survey, highlight that organisations restructuring processes to integrate AI agents effectively stand to gain the greatest competitive advantage. This evolution fosters the concept of “agentic organisations,” where human teams coordinate specialised AI agents, underscoring the urgency for interoperability standards and coherent governance frameworks.</w:t>
      </w:r>
      <w:r/>
    </w:p>
    <w:p>
      <w:r/>
      <w:r>
        <w:t>The maturation of AI technologies also intensifies cybersecurity challenges. Beyond conventional defences, AI security now demands protecting data integrity, model robustness, and output authenticity against sophisticated attacks like data poisoning. Yet, AI is also a powerful asset in augmenting cybersecurity capabilities through rapid threat detection and automated incident response, suggesting 2026 will witness significant advancements in AI-driven security tools, further entwining AI with the cybersecurity ecosystem.</w:t>
      </w:r>
      <w:r/>
    </w:p>
    <w:p>
      <w:r/>
      <w:r>
        <w:t>In sum, 2026 will be characterised not by AI’s arrival but by its grounding in practical realities and regulatory frameworks. Businesses and regulators alike face the dual task of interpreting high-level regulations into tangible operational safeguards while contending with evolving risks and ethical considerations. Whether through delayed compliance deadlines, emerging licensing regimes, novel liability landscapes, or integrated AI workflows, 2026 promises to define the contours of AI’s next phase, one marked by maturity, complexity, and ongoing transformation.</w:t>
      </w:r>
      <w:r/>
    </w:p>
    <w:p>
      <w:pPr>
        <w:pStyle w:val="Heading3"/>
      </w:pPr>
      <w:r>
        <w:t>📌 Reference Map:</w:t>
      </w:r>
      <w:r/>
      <w:r/>
    </w:p>
    <w:p>
      <w:pPr>
        <w:pStyle w:val="ListBullet"/>
        <w:spacing w:line="240" w:lineRule="auto"/>
        <w:ind w:left="720"/>
      </w:pPr>
      <w:r/>
      <w:hyperlink r:id="rId9">
        <w:r>
          <w:rPr>
            <w:color w:val="0000EE"/>
            <w:u w:val="single"/>
          </w:rPr>
          <w:t>[1]</w:t>
        </w:r>
      </w:hyperlink>
      <w:r>
        <w:t xml:space="preserve"> (Taylor Wessing) - Paragraphs 1, 2, 3, 4, 5, 6, 7, 8, 9, 10, 11, 12, 13, 14, 15 </w:t>
      </w:r>
      <w:r/>
    </w:p>
    <w:p>
      <w:pPr>
        <w:pStyle w:val="ListBullet"/>
        <w:spacing w:line="240" w:lineRule="auto"/>
        <w:ind w:left="720"/>
      </w:pPr>
      <w:r/>
      <w:hyperlink r:id="rId10">
        <w:r>
          <w:rPr>
            <w:color w:val="0000EE"/>
            <w:u w:val="single"/>
          </w:rPr>
          <w:t>[2]</w:t>
        </w:r>
      </w:hyperlink>
      <w:r>
        <w:t xml:space="preserve"> (Artificial Intelligence Act) - Paragraph 2 </w:t>
      </w:r>
      <w:r/>
    </w:p>
    <w:p>
      <w:pPr>
        <w:pStyle w:val="ListBullet"/>
        <w:spacing w:line="240" w:lineRule="auto"/>
        <w:ind w:left="720"/>
      </w:pPr>
      <w:r/>
      <w:hyperlink r:id="rId11">
        <w:r>
          <w:rPr>
            <w:color w:val="0000EE"/>
            <w:u w:val="single"/>
          </w:rPr>
          <w:t>[3]</w:t>
        </w:r>
      </w:hyperlink>
      <w:r>
        <w:t xml:space="preserve"> (Intelation) - Paragraphs 2, 3 </w:t>
      </w:r>
      <w:r/>
    </w:p>
    <w:p>
      <w:pPr>
        <w:pStyle w:val="ListBullet"/>
        <w:spacing w:line="240" w:lineRule="auto"/>
        <w:ind w:left="720"/>
      </w:pPr>
      <w:r/>
      <w:hyperlink r:id="rId12">
        <w:r>
          <w:rPr>
            <w:color w:val="0000EE"/>
            <w:u w:val="single"/>
          </w:rPr>
          <w:t>[4]</w:t>
        </w:r>
      </w:hyperlink>
      <w:r>
        <w:t xml:space="preserve"> (Reuters) - Paragraph 2 </w:t>
      </w:r>
      <w:r/>
    </w:p>
    <w:p>
      <w:pPr>
        <w:pStyle w:val="ListBullet"/>
        <w:spacing w:line="240" w:lineRule="auto"/>
        <w:ind w:left="720"/>
      </w:pPr>
      <w:r/>
      <w:hyperlink r:id="rId13">
        <w:r>
          <w:rPr>
            <w:color w:val="0000EE"/>
            <w:u w:val="single"/>
          </w:rPr>
          <w:t>[5]</w:t>
        </w:r>
      </w:hyperlink>
      <w:r>
        <w:t xml:space="preserve"> (Reuters) - Paragraph 2 </w:t>
      </w:r>
      <w:r/>
    </w:p>
    <w:p>
      <w:pPr>
        <w:pStyle w:val="ListBullet"/>
        <w:spacing w:line="240" w:lineRule="auto"/>
        <w:ind w:left="720"/>
      </w:pPr>
      <w:r/>
      <w:hyperlink r:id="rId14">
        <w:r>
          <w:rPr>
            <w:color w:val="0000EE"/>
            <w:u w:val="single"/>
          </w:rPr>
          <w:t>[6]</w:t>
        </w:r>
      </w:hyperlink>
      <w:r>
        <w:t xml:space="preserve"> (Validaitor) - Paragraph 2 </w:t>
      </w:r>
      <w:r/>
    </w:p>
    <w:p>
      <w:pPr>
        <w:pStyle w:val="ListBullet"/>
        <w:spacing w:line="240" w:lineRule="auto"/>
        <w:ind w:left="720"/>
      </w:pPr>
      <w:r/>
      <w:hyperlink r:id="rId15">
        <w:r>
          <w:rPr>
            <w:color w:val="0000EE"/>
            <w:u w:val="single"/>
          </w:rPr>
          <w:t>[7]</w:t>
        </w:r>
      </w:hyperlink>
      <w:r>
        <w:t xml:space="preserve"> (European Commission)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https://www.taylorwessing.com/en/interface/2025/predictions-2026/2026-the-year-ai-grows-up</w:t>
        </w:r>
      </w:hyperlink>
      <w:r>
        <w:t xml:space="preserve"> - Please view link - unable to able to access data</w:t>
      </w:r>
      <w:r/>
    </w:p>
    <w:p>
      <w:pPr>
        <w:pStyle w:val="ListNumber"/>
        <w:spacing w:line="240" w:lineRule="auto"/>
        <w:ind w:left="720"/>
      </w:pPr>
      <w:r/>
      <w:hyperlink r:id="rId10">
        <w:r>
          <w:rPr>
            <w:color w:val="0000EE"/>
            <w:u w:val="single"/>
          </w:rPr>
          <w:t>https://artificialintelligenceact.eu/article/6</w:t>
        </w:r>
      </w:hyperlink>
      <w:r>
        <w:t xml:space="preserve"> - Article 6 of the EU Artificial Intelligence Act outlines the classification rules for high-risk AI systems. It specifies that AI systems are considered high-risk if they are used as safety components of a product or if they are products themselves covered by EU legislation in Annex I. Additionally, AI systems listed in Annex III are always deemed high-risk, unless they do not pose a significant risk to people's health, safety, or rights. Providers must document their assessment if they believe their AI system isn't high-risk before selling or using it. The European Commission is expected to provide guidelines and examples to assist in determining high-risk and non-high-risk AI systems.</w:t>
      </w:r>
      <w:r/>
    </w:p>
    <w:p>
      <w:pPr>
        <w:pStyle w:val="ListNumber"/>
        <w:spacing w:line="240" w:lineRule="auto"/>
        <w:ind w:left="720"/>
      </w:pPr>
      <w:r/>
      <w:hyperlink r:id="rId11">
        <w:r>
          <w:rPr>
            <w:color w:val="0000EE"/>
            <w:u w:val="single"/>
          </w:rPr>
          <w:t>https://www.intelation.com/compliance/eu-ai-act</w:t>
        </w:r>
      </w:hyperlink>
      <w:r>
        <w:t xml:space="preserve"> - Intelation provides an overview of the EU AI Act, focusing on compliance requirements for high-risk AI systems. The Act categorizes AI systems into three risk levels: prohibited, high-risk, and minimal-risk. High-risk AI systems are subject to stringent obligations, including establishing risk management systems, ensuring data quality, maintaining comprehensive technical documentation, and enabling effective human oversight. Non-compliance with these obligations can result in significant penalties, such as fines up to €35 million or 7% of total annual global turnover for prohibited AI practices, and up to €15 million or 3% of annual global turnover for other violations.</w:t>
      </w:r>
      <w:r/>
    </w:p>
    <w:p>
      <w:pPr>
        <w:pStyle w:val="ListNumber"/>
        <w:spacing w:line="240" w:lineRule="auto"/>
        <w:ind w:left="720"/>
      </w:pPr>
      <w:r/>
      <w:hyperlink r:id="rId12">
        <w:r>
          <w:rPr>
            <w:color w:val="0000EE"/>
            <w:u w:val="single"/>
          </w:rPr>
          <w:t>https://www.reuters.com/world/europe/artificial-intelligence-rules-go-ahead-no-pause-eu-commission-says-2025-07-04/</w:t>
        </w:r>
      </w:hyperlink>
      <w:r>
        <w:t xml:space="preserve"> - In July 2025, the European Commission confirmed that the implementation of the EU's AI Act would proceed as scheduled, rejecting requests from major tech firms to delay the rollout. The Act's provisions became effective in February 2025, with general-purpose AI obligations starting in August 2025 and high-risk AI models being regulated from August 2026. The Commission emphasized that there would be 'no stop the clock,' indicating that the timeline for the Act's implementation would remain unchanged despite industry concerns.</w:t>
      </w:r>
      <w:r/>
    </w:p>
    <w:p>
      <w:pPr>
        <w:pStyle w:val="ListNumber"/>
        <w:spacing w:line="240" w:lineRule="auto"/>
        <w:ind w:left="720"/>
      </w:pPr>
      <w:r/>
      <w:hyperlink r:id="rId13">
        <w:r>
          <w:rPr>
            <w:color w:val="0000EE"/>
            <w:u w:val="single"/>
          </w:rPr>
          <w:t>https://www.reuters.com/sustainability/boards-policy-regulation/eu-delay-high-risk-ai-rules-until-2027-after-big-tech-pushback-2025-11-19/</w:t>
        </w:r>
      </w:hyperlink>
      <w:r>
        <w:t xml:space="preserve"> - In November 2025, the European Commission announced a delay in certain high-risk provisions of its AI Act until December 2027, shifting from the previously scheduled implementation in August 2026. This decision followed pressure from major technology firms and aimed to reduce regulatory burdens while maintaining robust oversight. The delay applies to AI applications in sensitive areas such as biometric identification, health services, credit evaluations, law enforcement, job applications, and road safety, as part of a broader regulatory easing initiative known as the 'Digital Omnibus.'</w:t>
      </w:r>
      <w:r/>
    </w:p>
    <w:p>
      <w:pPr>
        <w:pStyle w:val="ListNumber"/>
        <w:spacing w:line="240" w:lineRule="auto"/>
        <w:ind w:left="720"/>
      </w:pPr>
      <w:r/>
      <w:hyperlink r:id="rId14">
        <w:r>
          <w:rPr>
            <w:color w:val="0000EE"/>
            <w:u w:val="single"/>
          </w:rPr>
          <w:t>https://www.validaitor.com/eu-ai-act</w:t>
        </w:r>
      </w:hyperlink>
      <w:r>
        <w:t xml:space="preserve"> - Validaitor offers a comprehensive guide to the EU AI Act, detailing regulations, risk classification, and AI governance. The Act classifies AI systems into three categories: prohibited, high-risk, and minimal-risk. High-risk AI systems, which include applications in biometric identification, critical infrastructure, education, and law enforcement, must meet detailed requirements covering risk management, data quality, oversight, and more. Minimal-risk AI systems, such as AI-powered chatbots and recommendation engines, are subject to voluntary codes of conduct and self-regulation. The guide emphasizes the importance of understanding these classifications for compliance and governance.</w:t>
      </w:r>
      <w:r/>
    </w:p>
    <w:p>
      <w:pPr>
        <w:pStyle w:val="ListNumber"/>
        <w:spacing w:line="240" w:lineRule="auto"/>
        <w:ind w:left="720"/>
      </w:pPr>
      <w:r/>
      <w:hyperlink r:id="rId15">
        <w:r>
          <w:rPr>
            <w:color w:val="0000EE"/>
            <w:u w:val="single"/>
          </w:rPr>
          <w:t>https://digital-strategy.ec.europa.eu/en/policies/regulatory-framework-ai</w:t>
        </w:r>
      </w:hyperlink>
      <w:r>
        <w:t xml:space="preserve"> - The European Commission's webpage on the regulatory framework for AI outlines the prohibitions and obligations under the EU AI Act. Prohibited AI practices include systems for social scoring, certain biometric categorization, and real-time biometric identification in publicly accessible spaces for law enforcement. High-risk AI systems, which can pose serious risks to health, safety, or fundamental rights, include AI safety components in critical infrastructures, AI solutions used in education institutions, and AI-based safety components of products. The rules for high-risk AI will come into effect in August 2026 and August 2027.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ylorwessing.com/en/interface/2025/predictions-2026/2026-the-year-ai-grows-up" TargetMode="External"/><Relationship Id="rId10" Type="http://schemas.openxmlformats.org/officeDocument/2006/relationships/hyperlink" Target="https://artificialintelligenceact.eu/article/6" TargetMode="External"/><Relationship Id="rId11" Type="http://schemas.openxmlformats.org/officeDocument/2006/relationships/hyperlink" Target="https://www.intelation.com/compliance/eu-ai-act" TargetMode="External"/><Relationship Id="rId12" Type="http://schemas.openxmlformats.org/officeDocument/2006/relationships/hyperlink" Target="https://www.reuters.com/world/europe/artificial-intelligence-rules-go-ahead-no-pause-eu-commission-says-2025-07-04/" TargetMode="External"/><Relationship Id="rId13" Type="http://schemas.openxmlformats.org/officeDocument/2006/relationships/hyperlink" Target="https://www.reuters.com/sustainability/boards-policy-regulation/eu-delay-high-risk-ai-rules-until-2027-after-big-tech-pushback-2025-11-19/" TargetMode="External"/><Relationship Id="rId14" Type="http://schemas.openxmlformats.org/officeDocument/2006/relationships/hyperlink" Target="https://www.validaitor.com/eu-ai-act" TargetMode="External"/><Relationship Id="rId15" Type="http://schemas.openxmlformats.org/officeDocument/2006/relationships/hyperlink" Target="https://digital-strategy.ec.europa.eu/en/policies/regulatory-framework-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