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proposes Digital Omnibus Regulation as UK, China, and India tighten data security laws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Welcome to the final edition of the Stephenson Harwood data protection update for 2025, which reviews the principal regulatory, cyber security and enforcement developments from November and highlights what organisations should prioritise as we move into 2026. </w:t>
      </w:r>
      <w:hyperlink r:id="rId9">
        <w:r>
          <w:rPr>
            <w:color w:val="0000EE"/>
            <w:u w:val="single"/>
          </w:rPr>
          <w:t>[1]</w:t>
        </w:r>
      </w:hyperlink>
      <w:r/>
    </w:p>
    <w:p>
      <w:r/>
      <w:r>
        <w:t xml:space="preserve">The European Commission published its Digital Omnibus Regulation proposal on 19 November 2025, a package of amendments aimed at simplifying and aligning the GDPR, the ePrivacy Directive, the AI Act, the Data Act, the Data Governance Act and NIS2 to reduce complexity while seeking to preserve high standards. Industry and legal observers should monitor fast-moving trilogue negotiations and consider the potential impact of proposed changes on data processing, AI compliance and cross-border data flows. According to the Commission’s announcement, some deadlines for high‑risk AI measures have also been floated for later implementation to give stakeholders more time to prepare. </w:t>
      </w:r>
      <w:hyperlink r:id="rId9">
        <w:r>
          <w:rPr>
            <w:color w:val="0000EE"/>
            <w:u w:val="single"/>
          </w:rPr>
          <w:t>[1]</w:t>
        </w:r>
      </w:hyperlink>
      <w:hyperlink r:id="rId10">
        <w:r>
          <w:rPr>
            <w:color w:val="0000EE"/>
            <w:u w:val="single"/>
          </w:rPr>
          <w:t>[2]</w:t>
        </w:r>
      </w:hyperlink>
      <w:hyperlink r:id="rId11">
        <w:r>
          <w:rPr>
            <w:color w:val="0000EE"/>
            <w:u w:val="single"/>
          </w:rPr>
          <w:t>[5]</w:t>
        </w:r>
      </w:hyperlink>
      <w:hyperlink r:id="rId12">
        <w:r>
          <w:rPr>
            <w:color w:val="0000EE"/>
            <w:u w:val="single"/>
          </w:rPr>
          <w:t>[7]</w:t>
        </w:r>
      </w:hyperlink>
      <w:r/>
    </w:p>
    <w:p>
      <w:r/>
      <w:r>
        <w:t xml:space="preserve">In the UK, the Department for Science, Innovation and Technology introduced the Cyber Security and Resilience (Network and Information Systems) Bill to Parliament on 12 November 2025, updating the NIS Regulations to broaden scope, impose new duties on regulated entities, mandate incident reporting and strengthen regulator enforcement powers and fines. The Bill is intended to bring a wider range of digital services and critical suppliers within the framework and to raise obligations for resilience and recovery. Stakeholders should review the government factsheets and prepare for expanded compliance and reporting requirements. </w:t>
      </w:r>
      <w:hyperlink r:id="rId9">
        <w:r>
          <w:rPr>
            <w:color w:val="0000EE"/>
            <w:u w:val="single"/>
          </w:rPr>
          <w:t>[1]</w:t>
        </w:r>
      </w:hyperlink>
      <w:hyperlink r:id="rId13">
        <w:r>
          <w:rPr>
            <w:color w:val="0000EE"/>
            <w:u w:val="single"/>
          </w:rPr>
          <w:t>[3]</w:t>
        </w:r>
      </w:hyperlink>
      <w:hyperlink r:id="rId14">
        <w:r>
          <w:rPr>
            <w:color w:val="0000EE"/>
            <w:u w:val="single"/>
          </w:rPr>
          <w:t>[4]</w:t>
        </w:r>
      </w:hyperlink>
      <w:hyperlink r:id="rId15">
        <w:r>
          <w:rPr>
            <w:color w:val="0000EE"/>
            <w:u w:val="single"/>
          </w:rPr>
          <w:t>[6]</w:t>
        </w:r>
      </w:hyperlink>
      <w:r/>
    </w:p>
    <w:p>
      <w:r/>
      <w:r>
        <w:t xml:space="preserve">China tightened its cyber security regime in two phases: the Measures for the Administration of National Cybersecurity Incident Reporting, effective 1 November 2025, which sets out cross‑sector incident reporting obligations (including very short reporting windows for critical infrastructure), and an amended Cybersecurity Law, effective 1 January 2026, which increases penalties, extends extra‑territorial reach and strengthens data localisation and cross‑border assessment requirements. Businesses with operations or data processing in China should reassess localisation, incident response and documentation practices. </w:t>
      </w:r>
      <w:hyperlink r:id="rId9">
        <w:r>
          <w:rPr>
            <w:color w:val="0000EE"/>
            <w:u w:val="single"/>
          </w:rPr>
          <w:t>[1]</w:t>
        </w:r>
      </w:hyperlink>
      <w:r/>
    </w:p>
    <w:p>
      <w:r/>
      <w:r>
        <w:t xml:space="preserve">The UK’s Data (Use and Access) Act 2025 continued its phased implementation in November, with sections on joint law‑enforcement processing and intelligence services coming into force on 17 November and most digital verification services provisions commencing from 1 December 2025 (subject to limited exceptions). Organisations should consult the DUAA implementation timeline and update policies ahead of the anticipated wave of further amendments due in early January 2026. </w:t>
      </w:r>
      <w:hyperlink r:id="rId9">
        <w:r>
          <w:rPr>
            <w:color w:val="0000EE"/>
            <w:u w:val="single"/>
          </w:rPr>
          <w:t>[1]</w:t>
        </w:r>
      </w:hyperlink>
      <w:r/>
    </w:p>
    <w:p>
      <w:r/>
      <w:r>
        <w:t xml:space="preserve">India finalised rules to operationalise the Digital Personal Data Protection Act 2023 when it notified the Digital Personal Data Protection Rules 2025 on 13 November 2025, establishing the Data Protection Board and setting a phased timetable for core obligations. Key features include the introduction of registered “consent managers”, mandatory security safeguards, a two‑stage breach reporting framework with detailed follow‑up within 72 hours, parental‑consent regimes for children’s data, obligations for Significant Data Fiduciaries and substantial fines for serious breaches. Organisations offering goods or services to individuals in India should map flows, assess SDF exposure and prepare for progressive compliance milestones through to May 2027. </w:t>
      </w:r>
      <w:hyperlink r:id="rId9">
        <w:r>
          <w:rPr>
            <w:color w:val="0000EE"/>
            <w:u w:val="single"/>
          </w:rPr>
          <w:t>[1]</w:t>
        </w:r>
      </w:hyperlink>
      <w:r/>
    </w:p>
    <w:p>
      <w:r/>
      <w:r>
        <w:t xml:space="preserve">In enforcement and litigation, the European Court of Justice held on 13 November 2025 in Inteligo Media v ANSPDCP that the ePrivacy Directive governs the use of email addresses for direct marketing and can take precedence over the GDPR in that context, reinforcing the scope of the ePrivacy “soft opt‑in” for certain freemium models while cautioning that the ruling should be read narrowly. Separately, the FCA secured a prosecution under section 170(1) of the Data Protection Act 2018 after a former employee unlawfully sold customer data that enabled a crypto boiler‑room fraud; the FCA said the defendant “abused his position of trust” and stressed it will use its powers to tackle misuse of personal data that facilitates financial crime. These developments underscore that both data protection and financial regulators are sharpening enforcement tools where data misuse enables harm. </w:t>
      </w:r>
      <w:hyperlink r:id="rId9">
        <w:r>
          <w:rPr>
            <w:color w:val="0000EE"/>
            <w:u w:val="single"/>
          </w:rPr>
          <w:t>[1]</w:t>
        </w:r>
      </w:hyperlink>
      <w:r/>
    </w:p>
    <w:p>
      <w:r/>
      <w:r>
        <w:t xml:space="preserve">Taken together, November’s measures , from the Digital Omnibus proposals and the ECJ clarifications to national laws and incident reporting regimes in China, India and the UK , emphasise three immediate priorities for organisations: (1) map and minimise cross‑border transfer and localisation risks; (2) strengthen incident detection, reporting and record‑keeping to meet tightened timelines; and (3) reassess marketing and consent practices in light of evolving ePrivacy/GDPR interaction and regional law changes. Legal teams and compliance functions should treat the coming months as a period to convert strategic planning into operational controls. </w:t>
      </w:r>
      <w:hyperlink r:id="rId9">
        <w:r>
          <w:rPr>
            <w:color w:val="0000EE"/>
            <w:u w:val="single"/>
          </w:rPr>
          <w:t>[1]</w:t>
        </w:r>
      </w:hyperlink>
      <w:hyperlink r:id="rId10">
        <w:r>
          <w:rPr>
            <w:color w:val="0000EE"/>
            <w:u w:val="single"/>
          </w:rPr>
          <w:t>[2]</w:t>
        </w:r>
      </w:hyperlink>
      <w:hyperlink r:id="rId13">
        <w:r>
          <w:rPr>
            <w:color w:val="0000EE"/>
            <w:u w:val="single"/>
          </w:rPr>
          <w:t>[3]</w:t>
        </w:r>
      </w:hyperlink>
      <w:hyperlink r:id="rId11">
        <w:r>
          <w:rPr>
            <w:color w:val="0000EE"/>
            <w:u w:val="single"/>
          </w:rPr>
          <w:t>[5]</w:t>
        </w:r>
      </w:hyperlink>
      <w:hyperlink r:id="rId15">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(Stephenson Harwood) - Paragraph 1, Paragraph 2, Paragraph 4, Paragraph 5, Paragraph 6, Paragraph 7, Paragraph 8 </w:t>
      </w:r>
      <w:r/>
    </w:p>
    <w:p>
      <w:pPr>
        <w:pStyle w:val="ListBullet"/>
        <w:spacing w:line="240" w:lineRule="auto"/>
        <w:ind w:left="720"/>
      </w:pPr>
      <w:r/>
      <w:hyperlink r:id="rId10">
        <w:r>
          <w:rPr>
            <w:color w:val="0000EE"/>
            <w:u w:val="single"/>
          </w:rPr>
          <w:t>[2]</w:t>
        </w:r>
      </w:hyperlink>
      <w:r>
        <w:t xml:space="preserve"> (European Commission) - Paragraph 2, Paragraph 8 </w:t>
      </w:r>
      <w:r/>
    </w:p>
    <w:p>
      <w:pPr>
        <w:pStyle w:val="ListBullet"/>
        <w:spacing w:line="240" w:lineRule="auto"/>
        <w:ind w:left="720"/>
      </w:pPr>
      <w:r/>
      <w:hyperlink r:id="rId13">
        <w:r>
          <w:rPr>
            <w:color w:val="0000EE"/>
            <w:u w:val="single"/>
          </w:rPr>
          <w:t>[3]</w:t>
        </w:r>
      </w:hyperlink>
      <w:r>
        <w:t xml:space="preserve"> (UK Government) - Paragraph 3, Paragraph 8 </w:t>
      </w:r>
      <w:r/>
    </w:p>
    <w:p>
      <w:pPr>
        <w:pStyle w:val="ListBullet"/>
        <w:spacing w:line="240" w:lineRule="auto"/>
        <w:ind w:left="720"/>
      </w:pPr>
      <w:r/>
      <w:hyperlink r:id="rId14">
        <w:r>
          <w:rPr>
            <w:color w:val="0000EE"/>
            <w:u w:val="single"/>
          </w:rPr>
          <w:t>[4]</w:t>
        </w:r>
      </w:hyperlink>
      <w:r>
        <w:t xml:space="preserve"> (UK Government factsheets) - Paragraph 3 </w:t>
      </w:r>
      <w:r/>
    </w:p>
    <w:p>
      <w:pPr>
        <w:pStyle w:val="ListBullet"/>
        <w:spacing w:line="240" w:lineRule="auto"/>
        <w:ind w:left="720"/>
      </w:pPr>
      <w:r/>
      <w:hyperlink r:id="rId11">
        <w:r>
          <w:rPr>
            <w:color w:val="0000EE"/>
            <w:u w:val="single"/>
          </w:rPr>
          <w:t>[5]</w:t>
        </w:r>
      </w:hyperlink>
      <w:r>
        <w:t xml:space="preserve"> (Reuters) - Paragraph 2, Paragraph 8 </w:t>
      </w:r>
      <w:r/>
    </w:p>
    <w:p>
      <w:pPr>
        <w:pStyle w:val="ListBullet"/>
        <w:spacing w:line="240" w:lineRule="auto"/>
        <w:ind w:left="720"/>
      </w:pPr>
      <w:r/>
      <w:hyperlink r:id="rId15">
        <w:r>
          <w:rPr>
            <w:color w:val="0000EE"/>
            <w:u w:val="single"/>
          </w:rPr>
          <w:t>[6]</w:t>
        </w:r>
      </w:hyperlink>
      <w:r>
        <w:t xml:space="preserve"> (Reuters) - Paragraph 3, Paragraph 8 </w:t>
      </w:r>
      <w:r/>
    </w:p>
    <w:p>
      <w:pPr>
        <w:pStyle w:val="ListBullet"/>
        <w:spacing w:line="240" w:lineRule="auto"/>
        <w:ind w:left="720"/>
      </w:pPr>
      <w:r/>
      <w:hyperlink r:id="rId12">
        <w:r>
          <w:rPr>
            <w:color w:val="0000EE"/>
            <w:u w:val="single"/>
          </w:rPr>
          <w:t>[7]</w:t>
        </w:r>
      </w:hyperlink>
      <w:r>
        <w:t xml:space="preserve"> (Reuters)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https://www.stephensonharwood.com/insights/data-protection-update-november-2025/</w:t>
        </w:r>
      </w:hyperlink>
      <w:r>
        <w:t xml:space="preserve"> - Please view link - unable to able to access data</w:t>
      </w:r>
      <w:r/>
    </w:p>
    <w:p>
      <w:pPr>
        <w:pStyle w:val="ListNumber"/>
        <w:spacing w:line="240" w:lineRule="auto"/>
        <w:ind w:left="720"/>
      </w:pPr>
      <w:r/>
      <w:hyperlink r:id="rId10">
        <w:r>
          <w:rPr>
            <w:color w:val="0000EE"/>
            <w:u w:val="single"/>
          </w:rPr>
          <w:t>https://digital-strategy.ec.europa.eu/en/library/digital-omnibus-regulation-proposal</w:t>
        </w:r>
      </w:hyperlink>
      <w:r>
        <w:t xml:space="preserve"> - On 19 November 2025, the European Commission published the Digital Omnibus Regulation proposal as part of its Digital Omnibus package. This proposal aims to simplify existing laws and boost innovation while maintaining high standards. It suggests significant amendments to the EU General Data Protection Regulation (GDPR), ePrivacy Directive, Data Act, Data Governance Act, NIS2 Directive, and the EU AI Act. The details will be negotiated among EU institutions before implementation, and organisations are advised to monitor developments and prepare for change.</w:t>
      </w:r>
      <w:r/>
    </w:p>
    <w:p>
      <w:pPr>
        <w:pStyle w:val="ListNumber"/>
        <w:spacing w:line="240" w:lineRule="auto"/>
        <w:ind w:left="720"/>
      </w:pPr>
      <w:r/>
      <w:hyperlink r:id="rId13">
        <w:r>
          <w:rPr>
            <w:color w:val="0000EE"/>
            <w:u w:val="single"/>
          </w:rPr>
          <w:t>https://www.gov.uk/government/collections/cyber-security-and-resilience-bill</w:t>
        </w:r>
      </w:hyperlink>
      <w:r>
        <w:t xml:space="preserve"> - On 12 November 2025, the UK Department for Science, Innovation and Technology introduced the Cyber Security and Resilience (Network and Information Systems) Bill into Parliament. This bill aims to modernise and strengthen the UK's cyber security regime, updating and expanding the existing Network and Information Systems Regulations 2018. Key measures include new duties for regulated organisations to identify and manage cyber risks, mandatory incident reporting, enhanced powers for regulators, and tougher financial penalties for breaches. The bill applies to a broad range of organisations providing relevant services in the UK.</w:t>
      </w:r>
      <w:r/>
    </w:p>
    <w:p>
      <w:pPr>
        <w:pStyle w:val="ListNumber"/>
        <w:spacing w:line="240" w:lineRule="auto"/>
        <w:ind w:left="720"/>
      </w:pPr>
      <w:r/>
      <w:hyperlink r:id="rId14">
        <w:r>
          <w:rPr>
            <w:color w:val="0000EE"/>
            <w:u w:val="single"/>
          </w:rPr>
          <w:t>https://www.gov.uk/government/publications/cyber-security-and-resilience-network-and-information-systems-bill-factsheets</w:t>
        </w:r>
      </w:hyperlink>
      <w:r>
        <w:t xml:space="preserve"> - The UK government has published factsheets detailing the Cyber Security and Resilience (Network and Information Systems) Bill introduced to Parliament on 12 November 2025. These documents provide comprehensive information on various aspects of the bill, including its objectives, scope, and specific measures aimed at enhancing the UK's cyber security and resilience. The factsheets are intended to inform stakeholders and the public about the proposed legislation and its potential impact on critical sectors and digital infrastructure.</w:t>
      </w:r>
      <w:r/>
    </w:p>
    <w:p>
      <w:pPr>
        <w:pStyle w:val="ListNumber"/>
        <w:spacing w:line="240" w:lineRule="auto"/>
        <w:ind w:left="720"/>
      </w:pPr>
      <w:r/>
      <w:hyperlink r:id="rId11">
        <w:r>
          <w:rPr>
            <w:color w:val="0000EE"/>
            <w:u w:val="single"/>
          </w:rPr>
          <w:t>https://www.reuters.com/sustainability/boards-policy-regulation/eu-delay-high-risk-ai-rules-until-2027-after-big-tech-pushback-2025-11-19/</w:t>
        </w:r>
      </w:hyperlink>
      <w:r>
        <w:t xml:space="preserve"> - The European Commission has proposed delaying the implementation of stricter AI regulations for 'high risk' applications until December 2027, extending the original deadline of August 2026. This move is part of a broader push to streamline regulations under a package called the 'Digital Omnibus,' which includes updates to the AI Act, GDPR, the e-Privacy Directive, and the Data Act. The delay affects AI applications in areas such as biometric identification, traffic management, utilities, healthcare, credit evaluation, exams, law enforcement, and job applications. It follows pressure from Big Tech companies and aims to reduce bureaucratic burden while maintaining regulatory standards.</w:t>
      </w:r>
      <w:r/>
    </w:p>
    <w:p>
      <w:pPr>
        <w:pStyle w:val="ListNumber"/>
        <w:spacing w:line="240" w:lineRule="auto"/>
        <w:ind w:left="720"/>
      </w:pPr>
      <w:r/>
      <w:hyperlink r:id="rId15">
        <w:r>
          <w:rPr>
            <w:color w:val="0000EE"/>
            <w:u w:val="single"/>
          </w:rPr>
          <w:t>https://www.reuters.com/world/uk/uk-plans-tougher-laws-protect-public-services-from-cyberattacks-2025-11-12/</w:t>
        </w:r>
      </w:hyperlink>
      <w:r>
        <w:t xml:space="preserve"> - The UK government is introducing stricter cybersecurity regulations to safeguard public services from increasing cyberattacks. The proposed laws will require medium and large companies that provide services like IT management, help desk support, and cybersecurity to public and private sectors—including the National Health Service (NHS)—to comply with rigorous security standards. The initiative follows several high-profile attacks, including a breach of the Ministry of Defence's payroll system and incidents affecting NHS operations and major UK brands. Under the plans, these service providers must report significant cyber incidents promptly and have comprehensive response strategies in place.</w:t>
      </w:r>
      <w:r/>
    </w:p>
    <w:p>
      <w:pPr>
        <w:pStyle w:val="ListNumber"/>
        <w:spacing w:line="240" w:lineRule="auto"/>
        <w:ind w:left="720"/>
      </w:pPr>
      <w:r/>
      <w:hyperlink r:id="rId12">
        <w:r>
          <w:rPr>
            <w:color w:val="0000EE"/>
            <w:u w:val="single"/>
          </w:rPr>
          <w:t>https://www.reuters.com/sustainability/boards-policy-regulation/big-tech-may-win-reprieve-eu-mulls-easing-ai-rules-document-shows-2025-11-07/</w:t>
        </w:r>
      </w:hyperlink>
      <w:r>
        <w:t xml:space="preserve"> - The European Commission is considering easing certain provisions of its Artificial Intelligence Act, potentially giving large technology firms like Apple and Meta a reprieve from more stringent regulations. The proposed changes are part of a broader push to simplify multiple regulations enacted over the past two years. The draft 'Digital Omnibus' document, slated for presentation by EU tech chief Henna Virkkunen on November 19, outlines measures to relax some compliance requirements, especially for high-risk AI systems used for narrow or procedural tasks. These systems might be exempt from being registered in the EU's AI database.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ephensonharwood.com/insights/data-protection-update-november-2025/" TargetMode="External"/><Relationship Id="rId10" Type="http://schemas.openxmlformats.org/officeDocument/2006/relationships/hyperlink" Target="https://digital-strategy.ec.europa.eu/en/library/digital-omnibus-regulation-proposal" TargetMode="External"/><Relationship Id="rId11" Type="http://schemas.openxmlformats.org/officeDocument/2006/relationships/hyperlink" Target="https://www.reuters.com/sustainability/boards-policy-regulation/eu-delay-high-risk-ai-rules-until-2027-after-big-tech-pushback-2025-11-19/" TargetMode="External"/><Relationship Id="rId12" Type="http://schemas.openxmlformats.org/officeDocument/2006/relationships/hyperlink" Target="https://www.reuters.com/sustainability/boards-policy-regulation/big-tech-may-win-reprieve-eu-mulls-easing-ai-rules-document-shows-2025-11-07/" TargetMode="External"/><Relationship Id="rId13" Type="http://schemas.openxmlformats.org/officeDocument/2006/relationships/hyperlink" Target="https://www.gov.uk/government/collections/cyber-security-and-resilience-bill" TargetMode="External"/><Relationship Id="rId14" Type="http://schemas.openxmlformats.org/officeDocument/2006/relationships/hyperlink" Target="https://www.gov.uk/government/publications/cyber-security-and-resilience-network-and-information-systems-bill-factsheets" TargetMode="External"/><Relationship Id="rId15" Type="http://schemas.openxmlformats.org/officeDocument/2006/relationships/hyperlink" Target="https://www.reuters.com/world/uk/uk-plans-tougher-laws-protect-public-services-from-cyberattacks-2025-11-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