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infrastructure boom sparks concerns over sustainability and market stability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technology industry’s frenetic rush to build artificial intelligence capacity has moved beyond tinkering to a full‑scale industrial project , a vast roll‑out of data centres, specialised chips and cloud infrastructure that some investors and executives now worry is being funded more by hope than by cash flow. According to the original report, leading firms are pouring sums large enough to reshape power grids and capital markets, and that scale raises questions about whether the spending is an investment boom or a nascent bubble.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The headline numbers are startling. Industry estimates put annual AI infrastructure spending in the hundreds of billions, while major banks and analysts project multi‑trillion dollars of cumulative investment through the late 2020s. Executives at a recent conference said the top five tech firms alone could seek nearly $100 billion of funding next year to finance data centres and related deals, and Morgan Stanley has outlined similarly large sectorwide commitments. That surge is already showing up in sizeable corporate bond issuance and private deals. </w:t>
      </w:r>
      <w:hyperlink r:id="rId10">
        <w:r>
          <w:rPr>
            <w:color w:val="0000EE"/>
            <w:u w:val="single"/>
          </w:rPr>
          <w:t>[2]</w:t>
        </w:r>
      </w:hyperlink>
      <w:hyperlink r:id="rId12">
        <w:r>
          <w:rPr>
            <w:color w:val="0000EE"/>
            <w:u w:val="single"/>
          </w:rPr>
          <w:t>[5]</w:t>
        </w:r>
      </w:hyperlink>
      <w:hyperlink r:id="rId11">
        <w:r>
          <w:rPr>
            <w:color w:val="0000EE"/>
            <w:u w:val="single"/>
          </w:rPr>
          <w:t>[7]</w:t>
        </w:r>
      </w:hyperlink>
      <w:r/>
    </w:p>
    <w:p>
      <w:r/>
      <w:r>
        <w:t xml:space="preserve">How that spending is financed matters. Lenders and market watchers note a significant uptick in debt issuance by traditionally cash‑rich tech firms, and Goldman Sachs and others flag distinct pressures in both investment‑grade and high‑yield credit linked to AI projects. Some market participants see selective credit opportunities, while others are avoiding deals because of execution risk and uncertain returns. The Bank of England and other regulators have signalled potential systemic risks if the financing strain widens. </w:t>
      </w:r>
      <w:hyperlink r:id="rId13">
        <w:r>
          <w:rPr>
            <w:color w:val="0000EE"/>
            <w:u w:val="single"/>
          </w:rPr>
          <w:t>[3]</w:t>
        </w:r>
      </w:hyperlink>
      <w:hyperlink r:id="rId10">
        <w:r>
          <w:rPr>
            <w:color w:val="0000EE"/>
            <w:u w:val="single"/>
          </w:rPr>
          <w:t>[2]</w:t>
        </w:r>
      </w:hyperlink>
      <w:r/>
    </w:p>
    <w:p>
      <w:r/>
      <w:r>
        <w:t xml:space="preserve">Sceptics point to mismatches between projected outlays and plausible near‑term revenue streams. The lead analysis notes bold corporate forecasts for multi‑trillion‑dollar infrastructure programmes that, in many cases, dwarf current revenues. IBM’s chief executive warned on The Verge podcast that hardware depreciation and five‑year replacement cycles could make the cumulative capital equation unsustainable, implying that profitability would need to be enormous simply to service costs. Such technical and economic frictions feed doubts about whether current investment levels can be justified. </w:t>
      </w:r>
      <w:hyperlink r:id="rId9">
        <w:r>
          <w:rPr>
            <w:color w:val="0000EE"/>
            <w:u w:val="single"/>
          </w:rPr>
          <w:t>[1]</w:t>
        </w:r>
      </w:hyperlink>
      <w:hyperlink r:id="rId14">
        <w:r>
          <w:rPr>
            <w:color w:val="0000EE"/>
            <w:u w:val="single"/>
          </w:rPr>
          <w:t>[4]</w:t>
        </w:r>
      </w:hyperlink>
      <w:r/>
    </w:p>
    <w:p>
      <w:r/>
      <w:r>
        <w:t xml:space="preserve">There are also murkier financing structures in play. The Fulcrum piece highlights arrangements , private loans, special‑purpose vehicles and vendor financing , that resemble circular funding patterns, where suppliers take stakes in customers to underwrite capacity purchases. Critics argue these resemble historical episodes of financial engineering that inflated demand and prices, amplifying downside when sentiment turns. Market data already show divergence: baskets that include direct AI issuers have underperformed, particularly in higher‑risk credit tranches. </w:t>
      </w:r>
      <w:hyperlink r:id="rId9">
        <w:r>
          <w:rPr>
            <w:color w:val="0000EE"/>
            <w:u w:val="single"/>
          </w:rPr>
          <w:t>[1]</w:t>
        </w:r>
      </w:hyperlink>
      <w:hyperlink r:id="rId13">
        <w:r>
          <w:rPr>
            <w:color w:val="0000EE"/>
            <w:u w:val="single"/>
          </w:rPr>
          <w:t>[3]</w:t>
        </w:r>
      </w:hyperlink>
      <w:r/>
    </w:p>
    <w:p>
      <w:r/>
      <w:r>
        <w:t xml:space="preserve">Yet proponents emphasise differences from past bubbles. Many marquee firms driving AI , the biggest cloud providers, chipmakers and hyperscalers , are profitable, have tangible assets and are building long‑lived infrastructure. Large private exits and asset sales in the data‑centre market suggest continued investor appetite; one high‑profile sale to a consortium including major tech names produced strong returns and was presented by the seller as evidence the sector remains in its early growth phase. That argues for a lasting industrial build‑out rather than solely a speculative fad. </w:t>
      </w:r>
      <w:hyperlink r:id="rId12">
        <w:r>
          <w:rPr>
            <w:color w:val="0000EE"/>
            <w:u w:val="single"/>
          </w:rPr>
          <w:t>[5]</w:t>
        </w:r>
      </w:hyperlink>
      <w:hyperlink r:id="rId9">
        <w:r>
          <w:rPr>
            <w:color w:val="0000EE"/>
            <w:u w:val="single"/>
          </w:rPr>
          <w:t>[1]</w:t>
        </w:r>
      </w:hyperlink>
      <w:r/>
    </w:p>
    <w:p>
      <w:r/>
      <w:r>
        <w:t xml:space="preserve">Environmental and resource limits complicate the debate. Analyses of proposed scale-ups indicate dramatic power and water demands , in one estimate, certain proposed compute targets would require gigawatts of continuous power comparable to large nations and would substantially raise carbon and material footprints. Regulators and utilities are already wrestling with local grid strain, and investors warn that mis‑sized infrastructure could saddle other customers with stranded costs if demand proves lower than forecast. </w:t>
      </w:r>
      <w:hyperlink r:id="rId15">
        <w:r>
          <w:rPr>
            <w:color w:val="0000EE"/>
            <w:u w:val="single"/>
          </w:rPr>
          <w:t>[6]</w:t>
        </w:r>
      </w:hyperlink>
      <w:hyperlink r:id="rId9">
        <w:r>
          <w:rPr>
            <w:color w:val="0000EE"/>
            <w:u w:val="single"/>
          </w:rPr>
          <w:t>[1]</w:t>
        </w:r>
      </w:hyperlink>
      <w:hyperlink r:id="rId14">
        <w:r>
          <w:rPr>
            <w:color w:val="0000EE"/>
            <w:u w:val="single"/>
          </w:rPr>
          <w:t>[4]</w:t>
        </w:r>
      </w:hyperlink>
      <w:r/>
    </w:p>
    <w:p>
      <w:r/>
      <w:r>
        <w:t xml:space="preserve">Past bursts offer a cautionary template: large over‑investment can produce severe near‑term pain yet leave enduring infrastructure that enables later innovation. The current trajectory mixes genuine technological advances, concentrated profit pools and complex financing , a combination that could produce either a disruptive, multi‑decade transformation or a painful contraction that purges weaker claims on future returns. Policymakers, investors and industry leaders face the task of distinguishing durable capacity from casino‑like capital allocation as the AI build‑out proceeds. </w:t>
      </w:r>
      <w:hyperlink r:id="rId9">
        <w:r>
          <w:rPr>
            <w:color w:val="0000EE"/>
            <w:u w:val="single"/>
          </w:rPr>
          <w:t>[1]</w:t>
        </w:r>
      </w:hyperlink>
      <w:hyperlink r:id="rId11">
        <w:r>
          <w:rPr>
            <w:color w:val="0000EE"/>
            <w:u w:val="single"/>
          </w:rPr>
          <w:t>[7]</w:t>
        </w:r>
      </w:hyperlink>
      <w:hyperlink r:id="rId13">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Fulcrum) - Paragraph 1, Paragraph 4, Paragraph 5, Paragraph 6, Paragraph 8 </w:t>
      </w:r>
      <w:r/>
    </w:p>
    <w:p>
      <w:pPr>
        <w:pStyle w:val="ListBullet"/>
        <w:spacing w:line="240" w:lineRule="auto"/>
        <w:ind w:left="720"/>
      </w:pPr>
      <w:r/>
      <w:hyperlink r:id="rId10">
        <w:r>
          <w:rPr>
            <w:color w:val="0000EE"/>
            <w:u w:val="single"/>
          </w:rPr>
          <w:t>[2]</w:t>
        </w:r>
      </w:hyperlink>
      <w:r>
        <w:t xml:space="preserve"> (Reuters) - Paragraph 2, Paragraph 3 </w:t>
      </w:r>
      <w:r/>
    </w:p>
    <w:p>
      <w:pPr>
        <w:pStyle w:val="ListBullet"/>
        <w:spacing w:line="240" w:lineRule="auto"/>
        <w:ind w:left="720"/>
      </w:pPr>
      <w:r/>
      <w:hyperlink r:id="rId11">
        <w:r>
          <w:rPr>
            <w:color w:val="0000EE"/>
            <w:u w:val="single"/>
          </w:rPr>
          <w:t>[7]</w:t>
        </w:r>
      </w:hyperlink>
      <w:r>
        <w:t xml:space="preserve"> (The Washington Post) - Paragraph 1, Paragraph 8 </w:t>
      </w:r>
      <w:r/>
    </w:p>
    <w:p>
      <w:pPr>
        <w:pStyle w:val="ListBullet"/>
        <w:spacing w:line="240" w:lineRule="auto"/>
        <w:ind w:left="720"/>
      </w:pPr>
      <w:r/>
      <w:hyperlink r:id="rId13">
        <w:r>
          <w:rPr>
            <w:color w:val="0000EE"/>
            <w:u w:val="single"/>
          </w:rPr>
          <w:t>[3]</w:t>
        </w:r>
      </w:hyperlink>
      <w:r>
        <w:t xml:space="preserve"> (Reuters/Goldman Sachs) - Paragraph 3, Paragraph 5, Paragraph 8 </w:t>
      </w:r>
      <w:r/>
    </w:p>
    <w:p>
      <w:pPr>
        <w:pStyle w:val="ListBullet"/>
        <w:spacing w:line="240" w:lineRule="auto"/>
        <w:ind w:left="720"/>
      </w:pPr>
      <w:r/>
      <w:hyperlink r:id="rId14">
        <w:r>
          <w:rPr>
            <w:color w:val="0000EE"/>
            <w:u w:val="single"/>
          </w:rPr>
          <w:t>[4]</w:t>
        </w:r>
      </w:hyperlink>
      <w:r>
        <w:t xml:space="preserve"> (Tom’s Hardware / The Verge podcast) - Paragraph 4, Paragraph 7 </w:t>
      </w:r>
      <w:r/>
    </w:p>
    <w:p>
      <w:pPr>
        <w:pStyle w:val="ListBullet"/>
        <w:spacing w:line="240" w:lineRule="auto"/>
        <w:ind w:left="720"/>
      </w:pPr>
      <w:r/>
      <w:hyperlink r:id="rId12">
        <w:r>
          <w:rPr>
            <w:color w:val="0000EE"/>
            <w:u w:val="single"/>
          </w:rPr>
          <w:t>[5]</w:t>
        </w:r>
      </w:hyperlink>
      <w:r>
        <w:t xml:space="preserve"> (Reuters/Macquarie) - Paragraph 6 </w:t>
      </w:r>
      <w:r/>
    </w:p>
    <w:p>
      <w:pPr>
        <w:pStyle w:val="ListBullet"/>
        <w:spacing w:line="240" w:lineRule="auto"/>
        <w:ind w:left="720"/>
      </w:pPr>
      <w:r/>
      <w:hyperlink r:id="rId15">
        <w:r>
          <w:rPr>
            <w:color w:val="0000EE"/>
            <w:u w:val="single"/>
          </w:rPr>
          <w:t>[6]</w:t>
        </w:r>
      </w:hyperlink>
      <w:r>
        <w:t xml:space="preserve"> (Tom’s Hardware environmental analysis)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https://thefulcrum.us/media-technology/human-connection-in-the-ai-era</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https://www.reuters.com/business/finance/barclays-exec-says-top-five-tech-firms-could-need-100-bln-funding-next-year-2025-12-03/</w:t>
        </w:r>
      </w:hyperlink>
      <w:r>
        <w:t xml:space="preserve"> - Major technology firms are expected to significantly increase their debt issuance in 2026 to finance growing investments in artificial intelligence (AI) infrastructure and mergers and acquisitions (M&amp;A). Bank executives at the Reuters NEXT conference estimated that the top five U.S. tech companies may need nearly $100 billion in funding, driven largely by the race to build advanced AI-ready data centers. Traditionally reliant on cash, these companies are now turning to the debt market, with nearly $90 billion in public bond issuance since September from major cloud-computing firms. Additionally, a growing M&amp;A deal backlog is expected to further boost corporate financing. Currently, $175 billion in announced M&amp;A deals await funding—more than double that of the previous year. Morgan Stanley’s Anish Shah noted increased interest from private equity firms due to a revived IPO market. Executives downplayed systemic risk, citing strong and diverse cash flows backing the corporate debt, primarily secured by tangible assets such as data centers in development. Overall, 2026 is projected to see a surge in investment-grade corporate debt driven by technological expansion and consolidation.</w:t>
      </w:r>
      <w:r/>
    </w:p>
    <w:p>
      <w:pPr>
        <w:pStyle w:val="ListNumber"/>
        <w:spacing w:line="240" w:lineRule="auto"/>
        <w:ind w:left="720"/>
      </w:pPr>
      <w:r/>
      <w:hyperlink r:id="rId13">
        <w:r>
          <w:rPr>
            <w:color w:val="0000EE"/>
            <w:u w:val="single"/>
          </w:rPr>
          <w:t>https://www.reuters.com/business/ai-credit-concerns-playing-out-differently-investment-grade-high-yield-goldman-2025-12-05/</w:t>
        </w:r>
      </w:hyperlink>
      <w:r>
        <w:t xml:space="preserve"> - Goldman Sachs reports that investor concerns over the surge in AI-related debt are manifesting differently in investment grade and high yield credit markets. The increase in AI-linked bond issuance, driven by big tech and AI firms financing global data center expansions, has elicited mixed reactions. In investment grade bonds, the anxiety appears issuer-specific, with some selectively underperforming, while in high yield, the whole sector is under pressure. Investment professionals see selective opportunities amidst the structural shift, emphasizing careful credit analysis. However, others, like Mirabaud, are steering clear due to execution risk and lack of proven performance in AI infrastructure projects. The Bank of England has also flagged systemic risks related to this debt-driven AI boom. Goldman’s data shows that AI sector bond baskets without direct issuers slightly outperformed broader markets in 2025, while those including direct issuers significantly underperformed. The divergence in high yield began in November, indicating greater scrutiny and risk aversion toward direct AI debt. Despite the broader credit market’s solid health, AI-related debt is underperforming, reflecting cautious investor sentiment.</w:t>
      </w:r>
      <w:r/>
    </w:p>
    <w:p>
      <w:pPr>
        <w:pStyle w:val="ListNumber"/>
        <w:spacing w:line="240" w:lineRule="auto"/>
        <w:ind w:left="720"/>
      </w:pPr>
      <w:r/>
      <w:hyperlink r:id="rId14">
        <w:r>
          <w:rPr>
            <w:color w:val="0000EE"/>
            <w:u w:val="single"/>
          </w:rPr>
          <w:t>https://www.tomshardware.com/tech-industry/ibm-ceo-warns-trillion-dollar-ai-boom-unsustainable-at-current-infrastructure-costs</w:t>
        </w:r>
      </w:hyperlink>
      <w:r>
        <w:t xml:space="preserve"> - IBM CEO Arvind Krishna has raised alarms about the sustainability of the massive capital investments currently being made in artificial general intelligence (AGI) infrastructure. Speaking on The Verge's podcast, Krishna warned that the AI industry's current trajectory—driven by a surge in large-scale data center development—could result in $8 trillion of cumulative infrastructure spending. Based on his estimate of $80 billion per gigawatt, paired with plans for up to 100 gigawatts of AI computing capacity, Krishna argues this scale demands $800 billion in annual profits just to service capital costs. He highlighted hardware depreciation and five-year upgrade cycles as key financial concerns often overlooked by investors. Given rapid advances in AI architecture, Krishna maintains that entire hardware fleets must be replaced every five years, which compounds long-term expenditure. He doubts current large language model-based systems will achieve AGI without breakthroughs in knowledge integration, putting the value of current expenditure further into question. While Krishna believes generative AI can greatly enhance enterprise productivity, he questions whether companies can justify such infrastructure costs without demonstrating correspondingly massive returns. His warning echoes recent investor concerns over accelerated hardware obsolescence and economic viability in the face of such aggressive scaling.</w:t>
      </w:r>
      <w:r/>
    </w:p>
    <w:p>
      <w:pPr>
        <w:pStyle w:val="ListNumber"/>
        <w:spacing w:line="240" w:lineRule="auto"/>
        <w:ind w:left="720"/>
      </w:pPr>
      <w:r/>
      <w:hyperlink r:id="rId12">
        <w:r>
          <w:rPr>
            <w:color w:val="0000EE"/>
            <w:u w:val="single"/>
          </w:rPr>
          <w:t>https://www.reuters.com/world/asia-pacific/macquarie-confident-ai-data-centre-future-after-40-billion-aligned-sale-2025-10-16/</w:t>
        </w:r>
      </w:hyperlink>
      <w:r>
        <w:t xml:space="preserve"> - Macquarie Asset Management (MAM), a division of Australia’s Macquarie Group, has sold its Aligned Data Centers business for $40 billion, marking its largest private equity exit to date. Despite the massive divestiture, MAM maintains confidence in the future of artificial intelligence (AI) and data centers. Aligned, acquired by MAM seven years ago, has grown into a major global data center operator. The buyer consortium includes BlackRock, Microsoft, and Nvidia. MAM head Ben Way emphasized that the sale does not signal a decline in the sector but reflects optimal timing for exit, citing ongoing high demand. Way noted the world is still early in its digital transformation and AI journey, underscoring sustained growth potential. The sale comes amid booming global investment—the tech sector is projected to spend $400 billion on AI infrastructure this year, per Morgan Stanley. Aligned's 5 GW current and planned capacity was a factor in the valuation. MAM also announced a $5 billion partnership with Applied Digital for two new high-performance computing data centers. Macquarie continues to hold data center investments across the U.S., UK, China, and South Korea. Following the news, Macquarie Group’s shares rose over 5%, significantly outperforming the broader ASX index.</w:t>
      </w:r>
      <w:r/>
    </w:p>
    <w:p>
      <w:pPr>
        <w:pStyle w:val="ListNumber"/>
        <w:spacing w:line="240" w:lineRule="auto"/>
        <w:ind w:left="720"/>
      </w:pPr>
      <w:r/>
      <w:hyperlink r:id="rId15">
        <w:r>
          <w:rPr>
            <w:color w:val="0000EE"/>
            <w:u w:val="single"/>
          </w:rPr>
          <w:t>https://www.tomshardware.com/tech-industry/artificial-intelligence/openais-colossal-ai-data-center-targets-would-consume-as-much-electricity-as-entire-nation-of-india-250gw-target-would-require-30-million-gpus-annually-to-ensure-continuous-operation-emit-twice-as-much-carbon-dioxide-as-exxonmobil</w:t>
        </w:r>
      </w:hyperlink>
      <w:r>
        <w:t xml:space="preserve"> - OpenAI CEO Sam Altman has announced plans to build up to 250 gigawatts of compute capacity by 2033 to support AI development, a scale that would consume as much electricity as the entire nation of India and emit twice the carbon dioxide of ExxonMobil. Maintaining this power level would require the production and operation of 30 million Nvidia GPUs annually. This staggering demand is representative of a broader industry trend, with other companies like xAI planning similar massive AI infrastructure. The environmental impact of this rapid expansion in AI compute capacity extends beyond electricity use. Data centers require vast amounts of water for cooling, exacerbating strain on local water supplies, while the upstream manufacturing of AI chips—such as those made by TSMC and Samsung—demands massive energy inputs and involves toxic chemical use, leading to health and environmental risks. Additionally, the global race for AI supremacy has triggered a spike in power prices, diminished power quality for consumers, and increased competition for limited resources, including rare earth elements vital for GPU production. The article concludes by questioning not the potential of AI, but how much AI infrastructure the planet's ecosystems and finite resources can sustain.</w:t>
      </w:r>
      <w:r/>
    </w:p>
    <w:p>
      <w:pPr>
        <w:pStyle w:val="ListNumber"/>
        <w:spacing w:line="240" w:lineRule="auto"/>
        <w:ind w:left="720"/>
      </w:pPr>
      <w:r/>
      <w:hyperlink r:id="rId11">
        <w:r>
          <w:rPr>
            <w:color w:val="0000EE"/>
            <w:u w:val="single"/>
          </w:rPr>
          <w:t>https://www.washingtonpost.com/technology/2025/09/30/ai-economy-investment-bubble/</w:t>
        </w:r>
      </w:hyperlink>
      <w:r>
        <w:t xml:space="preserve"> - The rapid expansion of artificial intelligence (AI) investments has raised concerns about the potential formation of an economic bubble. Major technology firms have been heavily investing in AI infrastructure, leading to significant increases in their capital expenditures. For instance, Meta, Amazon, and Microsoft have pledged a record $320 billion in capital expenditures for 2025, with projections suggesting that capex could reach $2 trillion by 2028, with a substantial portion financed through debt. This surge in investment has led to concerns about the sustainability of such spending, especially if the anticipated returns from AI do not materialize as expected. Analysts warn that a potential slowdown in AI investment could have widespread repercussions, affecting not only the tech industry but also the broader economy. The article highlights the need for careful assessment of the risks associated with the rapid growth in AI investments and the potential for an economic bubble to form.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ulcrum.us/media-technology/human-connection-in-the-ai-era" TargetMode="External"/><Relationship Id="rId10" Type="http://schemas.openxmlformats.org/officeDocument/2006/relationships/hyperlink" Target="https://www.reuters.com/business/finance/barclays-exec-says-top-five-tech-firms-could-need-100-bln-funding-next-year-2025-12-03/" TargetMode="External"/><Relationship Id="rId11" Type="http://schemas.openxmlformats.org/officeDocument/2006/relationships/hyperlink" Target="https://www.washingtonpost.com/technology/2025/09/30/ai-economy-investment-bubble/" TargetMode="External"/><Relationship Id="rId12" Type="http://schemas.openxmlformats.org/officeDocument/2006/relationships/hyperlink" Target="https://www.reuters.com/world/asia-pacific/macquarie-confident-ai-data-centre-future-after-40-billion-aligned-sale-2025-10-16/" TargetMode="External"/><Relationship Id="rId13" Type="http://schemas.openxmlformats.org/officeDocument/2006/relationships/hyperlink" Target="https://www.reuters.com/business/ai-credit-concerns-playing-out-differently-investment-grade-high-yield-goldman-2025-12-05/" TargetMode="External"/><Relationship Id="rId14" Type="http://schemas.openxmlformats.org/officeDocument/2006/relationships/hyperlink" Target="https://www.tomshardware.com/tech-industry/ibm-ceo-warns-trillion-dollar-ai-boom-unsustainable-at-current-infrastructure-costs" TargetMode="External"/><Relationship Id="rId15" Type="http://schemas.openxmlformats.org/officeDocument/2006/relationships/hyperlink" Target="https://www.tomshardware.com/tech-industry/artificial-intelligence/openais-colossal-ai-data-center-targets-would-consume-as-much-electricity-as-entire-nation-of-india-250gw-target-would-require-30-million-gpus-annually-to-ensure-continuous-operation-emit-twice-as-much-carbon-dioxide-as-exxonmobi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