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Europe's shift to treating digital authenticity as critical infrastructure accelerates amid regulatory and technological innovations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Europe has entered a phase in which digital authenticity is treated as critical infrastructure rather than an optional feature, driven by a surge in synthetic content and concurrent regulatory pressure. According to the original report, the global AI content detection and authenticity verification market is valued at about USD 9.2 billion in 2025 and is projected to reach roughly USD 27 billion by 2035, reflecting rapid commercialisation of provenance and detection technologies. </w:t>
      </w:r>
      <w:hyperlink r:id="rId9">
        <w:r>
          <w:rPr>
            <w:color w:val="0000EE"/>
            <w:u w:val="single"/>
          </w:rPr>
          <w:t>[1]</w:t>
        </w:r>
      </w:hyperlink>
      <w:hyperlink r:id="rId9">
        <w:r>
          <w:rPr>
            <w:color w:val="0000EE"/>
            <w:u w:val="single"/>
          </w:rPr>
          <w:t>[2]</w:t>
        </w:r>
      </w:hyperlink>
      <w:r/>
    </w:p>
    <w:p>
      <w:r/>
      <w:r>
        <w:t xml:space="preserve">Regulation is a principal accelerator. Industry analysis shows the EU AI Act’s transparency and labelling requirements and the Digital Services Act’s provenance and watermarking expectations are pushing publishers, platforms and public bodies to build verification into workflow and distribution chains. The policy environment is transforming verification from a compliance add‑on into a board‑level priority. </w:t>
      </w:r>
      <w:hyperlink r:id="rId9">
        <w:r>
          <w:rPr>
            <w:color w:val="0000EE"/>
            <w:u w:val="single"/>
          </w:rPr>
          <w:t>[1]</w:t>
        </w:r>
      </w:hyperlink>
      <w:hyperlink r:id="rId9">
        <w:r>
          <w:rPr>
            <w:color w:val="0000EE"/>
            <w:u w:val="single"/>
          </w:rPr>
          <w:t>[2]</w:t>
        </w:r>
      </w:hyperlink>
      <w:hyperlink r:id="rId10">
        <w:r>
          <w:rPr>
            <w:color w:val="0000EE"/>
            <w:u w:val="single"/>
          </w:rPr>
          <w:t>[3]</w:t>
        </w:r>
      </w:hyperlink>
      <w:hyperlink r:id="rId11">
        <w:r>
          <w:rPr>
            <w:color w:val="0000EE"/>
            <w:u w:val="single"/>
          </w:rPr>
          <w:t>[4]</w:t>
        </w:r>
      </w:hyperlink>
      <w:r/>
    </w:p>
    <w:p>
      <w:r/>
      <w:r>
        <w:t xml:space="preserve">Technical trends now centre on provable chains of custody and multimodal detection. The market report highlights cryptographic watermarking, blockchain-backed provenance, explainable detection engines and hybrid on‑device/cloud verification as the tools vendors are packaging to meet EU auditability needs and to counter increasingly sophisticated deepfakes. These approaches shift emphasis from simply flagging suspected fakes to proving authenticity at creation and distribution. </w:t>
      </w:r>
      <w:hyperlink r:id="rId9">
        <w:r>
          <w:rPr>
            <w:color w:val="0000EE"/>
            <w:u w:val="single"/>
          </w:rPr>
          <w:t>[1]</w:t>
        </w:r>
      </w:hyperlink>
      <w:r/>
    </w:p>
    <w:p>
      <w:r/>
      <w:r>
        <w:t xml:space="preserve">Sectors under immediate pressure include newsrooms, government communications, social platforms and enterprise marketing. News organisations are embedding verification before publishing to protect credibility; governments are prioritising fast verification for secure messaging; platforms require automated confidence scoring at scale; and businesses seek brand‑safety and legal defensibility. Market research also identifies content moderation as a major revenue generator within detection while verification features represent the fastest growth segment. </w:t>
      </w:r>
      <w:hyperlink r:id="rId9">
        <w:r>
          <w:rPr>
            <w:color w:val="0000EE"/>
            <w:u w:val="single"/>
          </w:rPr>
          <w:t>[1]</w:t>
        </w:r>
      </w:hyperlink>
      <w:hyperlink r:id="rId10">
        <w:r>
          <w:rPr>
            <w:color w:val="0000EE"/>
            <w:u w:val="single"/>
          </w:rPr>
          <w:t>[3]</w:t>
        </w:r>
      </w:hyperlink>
      <w:r/>
    </w:p>
    <w:p>
      <w:r/>
      <w:r>
        <w:t xml:space="preserve">Commercial and technical hurdles remain. The lead analysis warns of integration friction with legacy CMS and broadcast systems, compute demands for multimodal models, and an arms race in which deepfake techniques evolve rapidly. Grand View Research further projects strong regional growth, with Germany singled out for elevated adoption rates, underscoring that national capacity and regulatory alignment will shape deployment speed. </w:t>
      </w:r>
      <w:hyperlink r:id="rId9">
        <w:r>
          <w:rPr>
            <w:color w:val="0000EE"/>
            <w:u w:val="single"/>
          </w:rPr>
          <w:t>[1]</w:t>
        </w:r>
      </w:hyperlink>
      <w:hyperlink r:id="rId10">
        <w:r>
          <w:rPr>
            <w:color w:val="0000EE"/>
            <w:u w:val="single"/>
          </w:rPr>
          <w:t>[3]</w:t>
        </w:r>
      </w:hyperlink>
      <w:hyperlink r:id="rId11">
        <w:r>
          <w:rPr>
            <w:color w:val="0000EE"/>
            <w:u w:val="single"/>
          </w:rPr>
          <w:t>[4]</w:t>
        </w:r>
      </w:hyperlink>
      <w:r/>
    </w:p>
    <w:p>
      <w:r/>
      <w:r>
        <w:t xml:space="preserve">For vendors and system integrators, standards compliance is decisive. Firms that implement C2PA‑style provenance metadata, provide explainable classifiers and map products to AI Act and DSA obligations are favoured in procurement processes. The market narrative positions winners as those that treat compliance as a product rather than a checklist. </w:t>
      </w:r>
      <w:hyperlink r:id="rId9">
        <w:r>
          <w:rPr>
            <w:color w:val="0000EE"/>
            <w:u w:val="single"/>
          </w:rPr>
          <w:t>[1]</w:t>
        </w:r>
      </w:hyperlink>
      <w:hyperlink r:id="rId10">
        <w:r>
          <w:rPr>
            <w:color w:val="0000EE"/>
            <w:u w:val="single"/>
          </w:rPr>
          <w:t>[3]</w:t>
        </w:r>
      </w:hyperlink>
      <w:r/>
    </w:p>
    <w:p>
      <w:r/>
      <w:r>
        <w:t xml:space="preserve">The boardroom calculus is changing accordingly. Executives increasingly see authenticity as risk management and competitive advantage: avoiding regulatory penalties or reputational loss, preserving advertising relationships and maintaining public trust. As the original report puts it, the conversation is no longer "Do we need detection?" but "What's the cost if we can't prove authenticity?" </w:t>
      </w:r>
      <w:hyperlink r:id="rId9">
        <w:r>
          <w:rPr>
            <w:color w:val="0000EE"/>
            <w:u w:val="single"/>
          </w:rPr>
          <w:t>[1]</w:t>
        </w:r>
      </w:hyperlink>
      <w:r/>
    </w:p>
    <w:p>
      <w:r/>
      <w:r>
        <w:t xml:space="preserve">If these trends continue, authenticity will be embedded at creation, verified at distribution and auditable at consumption, reshaping Europe's digital trust economy. Industry data suggests rapid market growth and high regulatory momentum will make provenance pipelines a standard component of media, public communications and commerce by the end of the decade. </w:t>
      </w:r>
      <w:hyperlink r:id="rId9">
        <w:r>
          <w:rPr>
            <w:color w:val="0000EE"/>
            <w:u w:val="single"/>
          </w:rPr>
          <w:t>[1]</w:t>
        </w:r>
      </w:hyperlink>
      <w:hyperlink r:id="rId10">
        <w:r>
          <w:rPr>
            <w:color w:val="0000EE"/>
            <w:u w:val="single"/>
          </w:rPr>
          <w:t>[3]</w:t>
        </w:r>
      </w:hyperlink>
      <w:hyperlink r:id="rId11">
        <w:r>
          <w:rPr>
            <w:color w:val="0000EE"/>
            <w:u w:val="single"/>
          </w:rPr>
          <w:t>[4]</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(MarketGenics / OpenPR) - Paragraph 1, Paragraph 2, Paragraph 3, Paragraph 4, Paragraph 5, Paragraph 6, Paragraph 7, Paragraph 8 </w:t>
      </w:r>
      <w:r/>
    </w:p>
    <w:p>
      <w:pPr>
        <w:pStyle w:val="ListBullet"/>
        <w:spacing w:line="240" w:lineRule="auto"/>
        <w:ind w:left="720"/>
      </w:pPr>
      <w:r/>
      <w:hyperlink r:id="rId9">
        <w:r>
          <w:rPr>
            <w:color w:val="0000EE"/>
            <w:u w:val="single"/>
          </w:rPr>
          <w:t>[2]</w:t>
        </w:r>
      </w:hyperlink>
      <w:r>
        <w:t xml:space="preserve"> (OpenPR summary) - Paragraph 1, Paragraph 2 </w:t>
      </w:r>
      <w:r/>
    </w:p>
    <w:p>
      <w:pPr>
        <w:pStyle w:val="ListBullet"/>
        <w:spacing w:line="240" w:lineRule="auto"/>
        <w:ind w:left="720"/>
      </w:pPr>
      <w:r/>
      <w:hyperlink r:id="rId10">
        <w:r>
          <w:rPr>
            <w:color w:val="0000EE"/>
            <w:u w:val="single"/>
          </w:rPr>
          <w:t>[3]</w:t>
        </w:r>
      </w:hyperlink>
      <w:r>
        <w:t xml:space="preserve"> (Grand View Research , Europe content detection outlook) - Paragraph 4, Paragraph 5, Paragraph 6, Paragraph 8 </w:t>
      </w:r>
      <w:r/>
    </w:p>
    <w:p>
      <w:pPr>
        <w:pStyle w:val="ListBullet"/>
        <w:spacing w:line="240" w:lineRule="auto"/>
        <w:ind w:left="720"/>
      </w:pPr>
      <w:r/>
      <w:hyperlink r:id="rId11">
        <w:r>
          <w:rPr>
            <w:color w:val="0000EE"/>
            <w:u w:val="single"/>
          </w:rPr>
          <w:t>[4]</w:t>
        </w:r>
      </w:hyperlink>
      <w:r>
        <w:t xml:space="preserve"> (Grand View Research , AI detector market report) - Paragraph 2, Paragraph 5, Paragraph 8</w:t>
      </w:r>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https://www.openpr.com/news/4306679/ai-content-detection-and-authenticity-verification-tools</w:t>
        </w:r>
      </w:hyperlink>
      <w:r>
        <w:t xml:space="preserve"> - Please view link - unable to able to access data</w:t>
      </w:r>
      <w:r/>
    </w:p>
    <w:p>
      <w:pPr>
        <w:pStyle w:val="ListNumber"/>
        <w:spacing w:line="240" w:lineRule="auto"/>
        <w:ind w:left="720"/>
      </w:pPr>
      <w:r/>
      <w:hyperlink r:id="rId9">
        <w:r>
          <w:rPr>
            <w:color w:val="0000EE"/>
            <w:u w:val="single"/>
          </w:rPr>
          <w:t>https://www.openpr.com/news/4306679/ai-content-detection-and-authenticity-verification-tools</w:t>
        </w:r>
      </w:hyperlink>
      <w:r>
        <w:t xml:space="preserve"> - This article discusses the rapid growth of the AI Content Detection and Authenticity Verification Tools Market, projected to reach approximately USD 27 billion by 2035, with a compound annual growth rate (CAGR) of 11.4%. It highlights Europe's proactive approach to combating misinformation, emphasizing the implementation of the EU AI Act, which mandates clear labeling of synthetic media, and the Digital Services Act, which requires provenance metadata and watermarking. The piece underscores the importance of these technologies in restoring trust across various sectors, including media, government communications, and education.</w:t>
      </w:r>
      <w:r/>
    </w:p>
    <w:p>
      <w:pPr>
        <w:pStyle w:val="ListNumber"/>
        <w:spacing w:line="240" w:lineRule="auto"/>
        <w:ind w:left="720"/>
      </w:pPr>
      <w:r/>
      <w:hyperlink r:id="rId10">
        <w:r>
          <w:rPr>
            <w:color w:val="0000EE"/>
            <w:u w:val="single"/>
          </w:rPr>
          <w:t>https://www.grandviewresearch.com/horizon/outlook/content-detection-market/europe</w:t>
        </w:r>
      </w:hyperlink>
      <w:r>
        <w:t xml:space="preserve"> - This report provides an overview of the European content detection market, noting a revenue of USD 4,221.4 million in 2024, with expectations to grow at a CAGR of 15.1% from 2025 to 2030. It identifies content moderation as the largest revenue-generating detection approach in 2024, while AI content verification is highlighted as the fastest-growing segment during the forecast period. The report also indicates that Germany is expected to register the highest CAGR from 2025 to 2030, reflecting the country's leadership in adopting content detection technologies.</w:t>
      </w:r>
      <w:r/>
    </w:p>
    <w:p>
      <w:pPr>
        <w:pStyle w:val="ListNumber"/>
        <w:spacing w:line="240" w:lineRule="auto"/>
        <w:ind w:left="720"/>
      </w:pPr>
      <w:r/>
      <w:hyperlink r:id="rId11">
        <w:r>
          <w:rPr>
            <w:color w:val="0000EE"/>
            <w:u w:val="single"/>
          </w:rPr>
          <w:t>https://www.grandviewresearch.com/industry-analysis/ai-detector-market-report</w:t>
        </w:r>
      </w:hyperlink>
      <w:r>
        <w:t xml:space="preserve"> - This industry analysis report examines the AI detector market, emphasizing Europe's expected growth at a CAGR of over 27% from 2025 to 2033. The growth is attributed to stringent regulatory mandates promoting responsible AI use and content accountability, particularly the implementation of the EU AI Act, which compels organizations to adopt transparent AI detection mechanisms. The report highlights the increasing adoption of AI detectors in educational institutions and publishing sectors to comply with emerging digital content standards.</w:t>
      </w:r>
      <w:r/>
    </w:p>
    <w:p>
      <w:pPr>
        <w:pStyle w:val="ListNumber"/>
        <w:spacing w:line="240" w:lineRule="auto"/>
        <w:ind w:left="720"/>
      </w:pPr>
      <w:r/>
      <w:hyperlink r:id="rId11">
        <w:r>
          <w:rPr>
            <w:color w:val="0000EE"/>
            <w:u w:val="single"/>
          </w:rPr>
          <w:t>https://www.grandviewresearch.com/industry-analysis/ai-detector-market-report</w:t>
        </w:r>
      </w:hyperlink>
      <w:r>
        <w:t xml:space="preserve"> - This industry analysis report examines the AI detector market, emphasizing Europe's expected growth at a CAGR of over 27% from 2025 to 2033. The growth is attributed to stringent regulatory mandates promoting responsible AI use and content accountability, particularly the implementation of the EU AI Act, which compels organizations to adopt transparent AI detection mechanisms. The report highlights the increasing adoption of AI detectors in educational institutions and publishing sectors to comply with emerging digital content standards.</w:t>
      </w:r>
      <w:r/>
    </w:p>
    <w:p>
      <w:pPr>
        <w:pStyle w:val="ListNumber"/>
        <w:spacing w:line="240" w:lineRule="auto"/>
        <w:ind w:left="720"/>
      </w:pPr>
      <w:r/>
      <w:hyperlink r:id="rId11">
        <w:r>
          <w:rPr>
            <w:color w:val="0000EE"/>
            <w:u w:val="single"/>
          </w:rPr>
          <w:t>https://www.grandviewresearch.com/industry-analysis/ai-detector-market-report</w:t>
        </w:r>
      </w:hyperlink>
      <w:r>
        <w:t xml:space="preserve"> - This industry analysis report examines the AI detector market, emphasizing Europe's expected growth at a CAGR of over 27% from 2025 to 2033. The growth is attributed to stringent regulatory mandates promoting responsible AI use and content accountability, particularly the implementation of the EU AI Act, which compels organizations to adopt transparent AI detection mechanisms. The report highlights the increasing adoption of AI detectors in educational institutions and publishing sectors to comply with emerging digital content standards.</w:t>
      </w:r>
      <w:r/>
    </w:p>
    <w:p>
      <w:pPr>
        <w:pStyle w:val="ListNumber"/>
        <w:spacing w:line="240" w:lineRule="auto"/>
        <w:ind w:left="720"/>
      </w:pPr>
      <w:r/>
      <w:hyperlink r:id="rId11">
        <w:r>
          <w:rPr>
            <w:color w:val="0000EE"/>
            <w:u w:val="single"/>
          </w:rPr>
          <w:t>https://www.grandviewresearch.com/industry-analysis/ai-detector-market-report</w:t>
        </w:r>
      </w:hyperlink>
      <w:r>
        <w:t xml:space="preserve"> - This industry analysis report examines the AI detector market, emphasizing Europe's expected growth at a CAGR of over 27% from 2025 to 2033. The growth is attributed to stringent regulatory mandates promoting responsible AI use and content accountability, particularly the implementation of the EU AI Act, which compels organizations to adopt transparent AI detection mechanisms. The report highlights the increasing adoption of AI detectors in educational institutions and publishing sectors to comply with emerging digital content standards.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306679/ai-content-detection-and-authenticity-verification-tools" TargetMode="External"/><Relationship Id="rId10" Type="http://schemas.openxmlformats.org/officeDocument/2006/relationships/hyperlink" Target="https://www.grandviewresearch.com/horizon/outlook/content-detection-market/europe" TargetMode="External"/><Relationship Id="rId11" Type="http://schemas.openxmlformats.org/officeDocument/2006/relationships/hyperlink" Target="https://www.grandviewresearch.com/industry-analysis/ai-detector-market-report"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