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Shipping at a crossroads as agentic AI challenges accountability and control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Wolfgang Lehmacher argues that shipping stands at an inflection point as agentic AI, systems that not only predict but decide and act, moves from forecasting into operational control, creating a paradox in which software behaves like a colleague while remaining an asset on the balance sheet. According to the original report, this shift raises a fundamental question about accountability when machines prioritise speed, cost or carbon in ways that may conflict with safety or law. </w:t>
      </w:r>
      <w:hyperlink r:id="rId9">
        <w:r>
          <w:rPr>
            <w:color w:val="0000EE"/>
            <w:u w:val="single"/>
          </w:rPr>
          <w:t>[1]</w:t>
        </w:r>
      </w:hyperlink>
      <w:r/>
    </w:p>
    <w:p>
      <w:r/>
      <w:r>
        <w:t xml:space="preserve">Three schools of thought have emerged for how to manage that shift. The “supertool” view keeps humans firmly in charge: algorithms recommend and automate routine tasks while people set objectives, interpret trade-offs and sign off decisions. The “digital coworker” framing treats agents as teammates with roles, KPIs and an “HR for agents” that assigns ownership and escalation rules. A third camp rethinks operating models from a blank sheet, giving agents responsibility for fleet, network and hinterland rebalancing while humans focus on resilience, relationships and stewardship. </w:t>
      </w:r>
      <w:hyperlink r:id="rId9">
        <w:r>
          <w:rPr>
            <w:color w:val="0000EE"/>
            <w:u w:val="single"/>
          </w:rPr>
          <w:t>[1]</w:t>
        </w:r>
      </w:hyperlink>
      <w:r/>
    </w:p>
    <w:p>
      <w:r/>
      <w:r>
        <w:t xml:space="preserve">Practical deployments illustrate the trade-offs. The Port of Rotterdam uses platforms such as PortXchange and Pronto to combine public data, partner inputs and machine learning to predict arrivals, coordinate port calls and optimise yard operations, reducing waiting times and improving utilisation, yet responsibility for safety, commercial exposure and liability remains with port authorities, terminals and shipping lines. PortXchange provides the shared dashboard and APIs while Pronto applies self‑learning models to arrival data drawn from the port authority and AIS feeds. </w:t>
      </w:r>
      <w:hyperlink r:id="rId9">
        <w:r>
          <w:rPr>
            <w:color w:val="0000EE"/>
            <w:u w:val="single"/>
          </w:rPr>
          <w:t>[1]</w:t>
        </w:r>
      </w:hyperlink>
      <w:hyperlink r:id="rId10">
        <w:r>
          <w:rPr>
            <w:color w:val="0000EE"/>
            <w:u w:val="single"/>
          </w:rPr>
          <w:t>[4]</w:t>
        </w:r>
      </w:hyperlink>
      <w:hyperlink r:id="rId11">
        <w:r>
          <w:rPr>
            <w:color w:val="0000EE"/>
            <w:u w:val="single"/>
          </w:rPr>
          <w:t>[5]</w:t>
        </w:r>
      </w:hyperlink>
      <w:r/>
    </w:p>
    <w:p>
      <w:r/>
      <w:r>
        <w:t xml:space="preserve">The operational benefits are clear, but technology leaders and consultants warn of new vulnerabilities. Industry playbooks stress that deploying agentic AI without robust safety, security and governance can disrupt operations, compromise data and erode trust. McKinsey’s guidance underlines trust as the foundation and sets out lessons for safe scaling, while consultancies such as Capgemini emphasise governance frameworks, integration routes (off‑the‑shelf, custom or embedded agents) and ethical controls to manage accountability and compliance. </w:t>
      </w:r>
      <w:hyperlink r:id="rId12">
        <w:r>
          <w:rPr>
            <w:color w:val="0000EE"/>
            <w:u w:val="single"/>
          </w:rPr>
          <w:t>[2]</w:t>
        </w:r>
      </w:hyperlink>
      <w:hyperlink r:id="rId13">
        <w:r>
          <w:rPr>
            <w:color w:val="0000EE"/>
            <w:u w:val="single"/>
          </w:rPr>
          <w:t>[3]</w:t>
        </w:r>
      </w:hyperlink>
      <w:hyperlink r:id="rId12">
        <w:r>
          <w:rPr>
            <w:color w:val="0000EE"/>
            <w:u w:val="single"/>
          </w:rPr>
          <w:t>[6]</w:t>
        </w:r>
      </w:hyperlink>
      <w:hyperlink r:id="rId13">
        <w:r>
          <w:rPr>
            <w:color w:val="0000EE"/>
            <w:u w:val="single"/>
          </w:rPr>
          <w:t>[7]</w:t>
        </w:r>
      </w:hyperlink>
      <w:r/>
    </w:p>
    <w:p>
      <w:r/>
      <w:r>
        <w:t xml:space="preserve">Legal analysis and maritime studies underline persistent grey zones: no matter how autonomous a system becomes, it does not become a moral or legal person, and humans remain accountable when harm occurs. Regulators, class societies and ethicists continue to demand “seaworthy” human oversight, even as operators argue that insisting on manual signoff may simply preserve outdated hierarchies and forgo efficiency gains. This tension makes clear why boards, not just vendors or project teams, must own choices about models, data and guardrails. </w:t>
      </w:r>
      <w:hyperlink r:id="rId9">
        <w:r>
          <w:rPr>
            <w:color w:val="0000EE"/>
            <w:u w:val="single"/>
          </w:rPr>
          <w:t>[1]</w:t>
        </w:r>
      </w:hyperlink>
      <w:hyperlink r:id="rId12">
        <w:r>
          <w:rPr>
            <w:color w:val="0000EE"/>
            <w:u w:val="single"/>
          </w:rPr>
          <w:t>[2]</w:t>
        </w:r>
      </w:hyperlink>
      <w:r/>
    </w:p>
    <w:p>
      <w:r/>
      <w:r>
        <w:t xml:space="preserve">The pragmatic path Lehmacher favours is to let AI orchestrate flows at machine speed while treating it as a tool: assign clear ownership for each critical agent, codify escalation and override rights, and cultivate a culture that views every AI decision as the outcome of prior human choices. According to the original report, as agentic systems increasingly run ships and ports, one question will grow louder: when the system acts, who will stand up and say, "I am in charge"?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(Splash247) - Paragraph 1, Paragraph 2, Paragraph 3, Paragraph 5, Paragraph 6 </w:t>
      </w:r>
      <w:r/>
    </w:p>
    <w:p>
      <w:pPr>
        <w:pStyle w:val="ListBullet"/>
        <w:spacing w:line="240" w:lineRule="auto"/>
        <w:ind w:left="720"/>
      </w:pPr>
      <w:r/>
      <w:hyperlink r:id="rId10">
        <w:r>
          <w:rPr>
            <w:color w:val="0000EE"/>
            <w:u w:val="single"/>
          </w:rPr>
          <w:t>[4]</w:t>
        </w:r>
      </w:hyperlink>
      <w:r>
        <w:t xml:space="preserve"> (Port of Rotterdam / PortXchange) - Paragraph 3 </w:t>
      </w:r>
      <w:r/>
    </w:p>
    <w:p>
      <w:pPr>
        <w:pStyle w:val="ListBullet"/>
        <w:spacing w:line="240" w:lineRule="auto"/>
        <w:ind w:left="720"/>
      </w:pPr>
      <w:r/>
      <w:hyperlink r:id="rId11">
        <w:r>
          <w:rPr>
            <w:color w:val="0000EE"/>
            <w:u w:val="single"/>
          </w:rPr>
          <w:t>[5]</w:t>
        </w:r>
      </w:hyperlink>
      <w:r>
        <w:t xml:space="preserve"> (World Ports / Port of Rotterdam Pronto) - Paragraph 3 </w:t>
      </w:r>
      <w:r/>
    </w:p>
    <w:p>
      <w:pPr>
        <w:pStyle w:val="ListBullet"/>
        <w:spacing w:line="240" w:lineRule="auto"/>
        <w:ind w:left="720"/>
      </w:pPr>
      <w:r/>
      <w:hyperlink r:id="rId12">
        <w:r>
          <w:rPr>
            <w:color w:val="0000EE"/>
            <w:u w:val="single"/>
          </w:rPr>
          <w:t>[2]</w:t>
        </w:r>
      </w:hyperlink>
      <w:r>
        <w:t xml:space="preserve"> (McKinsey) - Paragraph 4, Paragraph 5 </w:t>
      </w:r>
      <w:r/>
    </w:p>
    <w:p>
      <w:pPr>
        <w:pStyle w:val="ListBullet"/>
        <w:spacing w:line="240" w:lineRule="auto"/>
        <w:ind w:left="720"/>
      </w:pPr>
      <w:r/>
      <w:hyperlink r:id="rId12">
        <w:r>
          <w:rPr>
            <w:color w:val="0000EE"/>
            <w:u w:val="single"/>
          </w:rPr>
          <w:t>[6]</w:t>
        </w:r>
      </w:hyperlink>
      <w:r>
        <w:t xml:space="preserve"> (McKinsey) - Paragraph 4 </w:t>
      </w:r>
      <w:r/>
    </w:p>
    <w:p>
      <w:pPr>
        <w:pStyle w:val="ListBullet"/>
        <w:spacing w:line="240" w:lineRule="auto"/>
        <w:ind w:left="720"/>
      </w:pPr>
      <w:r/>
      <w:hyperlink r:id="rId13">
        <w:r>
          <w:rPr>
            <w:color w:val="0000EE"/>
            <w:u w:val="single"/>
          </w:rPr>
          <w:t>[3]</w:t>
        </w:r>
      </w:hyperlink>
      <w:r>
        <w:t xml:space="preserve"> (Capgemini) - Paragraph 4, Paragraph 6 </w:t>
      </w:r>
      <w:r/>
    </w:p>
    <w:p>
      <w:pPr>
        <w:pStyle w:val="ListBullet"/>
        <w:spacing w:line="240" w:lineRule="auto"/>
        <w:ind w:left="720"/>
      </w:pPr>
      <w:r/>
      <w:hyperlink r:id="rId13">
        <w:r>
          <w:rPr>
            <w:color w:val="0000EE"/>
            <w:u w:val="single"/>
          </w:rPr>
          <w:t>[7]</w:t>
        </w:r>
      </w:hyperlink>
      <w:r>
        <w:t xml:space="preserve"> (Capgemini) - Paragraph 4</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https://splash247.com/whos-really-in-charge-when-ai-runs-your-ships/</w:t>
        </w:r>
      </w:hyperlink>
      <w:r>
        <w:t xml:space="preserve"> - Please view link - unable to able to access data</w:t>
      </w:r>
      <w:r/>
    </w:p>
    <w:p>
      <w:pPr>
        <w:pStyle w:val="ListNumber"/>
        <w:spacing w:line="240" w:lineRule="auto"/>
        <w:ind w:left="720"/>
      </w:pPr>
      <w:r/>
      <w:hyperlink r:id="rId12">
        <w:r>
          <w:rPr>
            <w:color w:val="0000EE"/>
            <w:u w:val="single"/>
          </w:rPr>
          <w:t>https://www.mckinsey.com/capabilities/risk-and-resilience/our-insights/deploying-agentic-ai-with-safety-and-security-a-playbook-for-technology-leaders</w:t>
        </w:r>
      </w:hyperlink>
      <w:r>
        <w:t xml:space="preserve"> - McKinsey discusses the risks associated with deploying agentic AI systems, highlighting potential vulnerabilities that could disrupt operations, compromise sensitive data, or erode customer trust. The article emphasizes the need for technology leaders to develop a thorough understanding of these emerging risks and proactively ensure secure and compliant adoption of the technology. It also outlines six key lessons to help organizations avoid common pitfalls as they scale the new technology, focusing on the importance of trust as the foundation in an agentic world.</w:t>
      </w:r>
      <w:r/>
    </w:p>
    <w:p>
      <w:pPr>
        <w:pStyle w:val="ListNumber"/>
        <w:spacing w:line="240" w:lineRule="auto"/>
        <w:ind w:left="720"/>
      </w:pPr>
      <w:r/>
      <w:hyperlink r:id="rId13">
        <w:r>
          <w:rPr>
            <w:color w:val="0000EE"/>
            <w:u w:val="single"/>
          </w:rPr>
          <w:t>https://www.capgemini.com/us-en/solutions/solutions-agentic-ai-for-enterprise-by-capgemini/</w:t>
        </w:r>
      </w:hyperlink>
      <w:r>
        <w:t xml:space="preserve"> - Capgemini addresses the challenges organizations face when implementing agentic AI solutions, such as integration complexity, accountability, governance, and ethical concerns. The article outlines how Capgemini assists organizations in navigating these complexities by providing robust governance frameworks that ensure compliance, scalability, and consistent performance. It also discusses strategic objectives like rapid prototyping and deployment, seamless integration, and scalability and governance, offering three possible implementation routes: off-the-shelf agents for common tasks, custom AI agents tailored to specific processes, and embedded agents integrated into existing platforms.</w:t>
      </w:r>
      <w:r/>
    </w:p>
    <w:p>
      <w:pPr>
        <w:pStyle w:val="ListNumber"/>
        <w:spacing w:line="240" w:lineRule="auto"/>
        <w:ind w:left="720"/>
      </w:pPr>
      <w:r/>
      <w:hyperlink r:id="rId10">
        <w:r>
          <w:rPr>
            <w:color w:val="0000EE"/>
            <w:u w:val="single"/>
          </w:rPr>
          <w:t>https://www.portofrotterdam.com/en/services/online-tools/portxchange</w:t>
        </w:r>
      </w:hyperlink>
      <w:r>
        <w:t xml:space="preserve"> - PortXchange is a platform provided by the Port of Rotterdam that enables shipping companies, agents, terminals, and other service providers to exchange information about their port calls. The platform offers a shared dashboard and API links for users to access and plan activities related to port calls more efficiently. PortXchange combines public data, data from participating companies, and forecasts from artificial intelligence applications to generate accurate information about port calls, without sharing any information about the cargo.</w:t>
      </w:r>
      <w:r/>
    </w:p>
    <w:p>
      <w:pPr>
        <w:pStyle w:val="ListNumber"/>
        <w:spacing w:line="240" w:lineRule="auto"/>
        <w:ind w:left="720"/>
      </w:pPr>
      <w:r/>
      <w:hyperlink r:id="rId11">
        <w:r>
          <w:rPr>
            <w:color w:val="0000EE"/>
            <w:u w:val="single"/>
          </w:rPr>
          <w:t>https://www.worldports.org/port-of-rotterdams-ai-vessel-platform/</w:t>
        </w:r>
      </w:hyperlink>
      <w:r>
        <w:t xml:space="preserve"> - The Port of Rotterdam has invested in artificial intelligence to monitor port operations, including predicting vessel arrivals. The port utilizes Pronto, an application for standardized data exchange on port calls, which is used by almost half of all shipping companies, agents, terminals, and other nautical service providers in the port. Pronto receives data from the Port Authority database and AIS, and data scientists use this information to develop a self-learning computer model to enhance operational efficiency.</w:t>
      </w:r>
      <w:r/>
    </w:p>
    <w:p>
      <w:pPr>
        <w:pStyle w:val="ListNumber"/>
        <w:spacing w:line="240" w:lineRule="auto"/>
        <w:ind w:left="720"/>
      </w:pPr>
      <w:r/>
      <w:hyperlink r:id="rId12">
        <w:r>
          <w:rPr>
            <w:color w:val="0000EE"/>
            <w:u w:val="single"/>
          </w:rPr>
          <w:t>https://www.mckinsey.com/capabilities/risk-and-resilience/our-insights/deploying-agentic-ai-with-safety-and-security-a-playbook-for-technology-leaders</w:t>
        </w:r>
      </w:hyperlink>
      <w:r>
        <w:t xml:space="preserve"> - McKinsey discusses the risks associated with deploying agentic AI systems, highlighting potential vulnerabilities that could disrupt operations, compromise sensitive data, or erode customer trust. The article emphasizes the need for technology leaders to develop a thorough understanding of these emerging risks and proactively ensure secure and compliant adoption of the technology. It also outlines six key lessons to help organizations avoid common pitfalls as they scale the new technology, focusing on the importance of trust as the foundation in an agentic world.</w:t>
      </w:r>
      <w:r/>
    </w:p>
    <w:p>
      <w:pPr>
        <w:pStyle w:val="ListNumber"/>
        <w:spacing w:line="240" w:lineRule="auto"/>
        <w:ind w:left="720"/>
      </w:pPr>
      <w:r/>
      <w:hyperlink r:id="rId13">
        <w:r>
          <w:rPr>
            <w:color w:val="0000EE"/>
            <w:u w:val="single"/>
          </w:rPr>
          <w:t>https://www.capgemini.com/us-en/solutions/solutions-agentic-ai-for-enterprise-by-capgemini/</w:t>
        </w:r>
      </w:hyperlink>
      <w:r>
        <w:t xml:space="preserve"> - Capgemini addresses the challenges organizations face when implementing agentic AI solutions, such as integration complexity, accountability, governance, and ethical concerns. The article outlines how Capgemini assists organizations in navigating these complexities by providing robust governance frameworks that ensure compliance, scalability, and consistent performance. It also discusses strategic objectives like rapid prototyping and deployment, seamless integration, and scalability and governance, offering three possible implementation routes: off-the-shelf agents for common tasks, custom AI agents tailored to specific processes, and embedded agents integrated into existing platforms.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lash247.com/whos-really-in-charge-when-ai-runs-your-ships/" TargetMode="External"/><Relationship Id="rId10" Type="http://schemas.openxmlformats.org/officeDocument/2006/relationships/hyperlink" Target="https://www.portofrotterdam.com/en/services/online-tools/portxchange" TargetMode="External"/><Relationship Id="rId11" Type="http://schemas.openxmlformats.org/officeDocument/2006/relationships/hyperlink" Target="https://www.worldports.org/port-of-rotterdams-ai-vessel-platform/" TargetMode="External"/><Relationship Id="rId12" Type="http://schemas.openxmlformats.org/officeDocument/2006/relationships/hyperlink" Target="https://www.mckinsey.com/capabilities/risk-and-resilience/our-insights/deploying-agentic-ai-with-safety-and-security-a-playbook-for-technology-leaders" TargetMode="External"/><Relationship Id="rId13" Type="http://schemas.openxmlformats.org/officeDocument/2006/relationships/hyperlink" Target="https://www.capgemini.com/us-en/solutions/solutions-agentic-ai-for-enterprise-by-capgemini/"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