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shift from SaaS to edge-enabled AI as a service by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Cloud and security executives predict 2026 will mark a turning point in how enterprises buy, deploy and protect software as artificial intelligence reshapes budgets, architectures and risk models.</w:t>
      </w:r>
      <w:r/>
    </w:p>
    <w:p>
      <w:r/>
      <w:r>
        <w:t xml:space="preserve">According to the original report, Rami Houssaini, Chief Cyber Solutions Officer at Cloudflare, said boards were beginning to see limits in centralised cloud and traditional software-as-a-service (SaaS) models as AI demand grows at the edge. "The traditional SaaS model-defined by static features and centralized data silos-is nearing its end. Enterprises are now demanding AI-native, real-time, context-aware services. 2026 will accelerate the shift from "application consumption" to AI-as-a-Service. Organisations will prioritize deploying domain-tuned models at the edge, keeping sensitive data local, and paying for intelligence over software seats. While SaaS won't disappear, its dominance ends as AI agents become the primary interface for enterprise workflows," he said. </w:t>
      </w:r>
      <w:hyperlink r:id="rId9">
        <w:r>
          <w:rPr>
            <w:color w:val="0000EE"/>
            <w:u w:val="single"/>
          </w:rPr>
          <w:t>[1]</w:t>
        </w:r>
      </w:hyperlink>
      <w:r/>
    </w:p>
    <w:p>
      <w:r/>
      <w:r>
        <w:t xml:space="preserve">That forecast reflects a broader commercial pivot already visible in vendor earnings and market analysis. Salesforce this month raised its fiscal 2026 revenue and profit outlook, attributing the upgrade to rapid adoption of AI offerings , notably its Agentforce platform , with AI products contributing materially to recurring revenue growth. Industry data shows AI-enabled revenue lines are becoming a decisive growth lever for large software vendors as enterprises convert pilots into paid deployments. </w:t>
      </w:r>
      <w:hyperlink r:id="rId10">
        <w:r>
          <w:rPr>
            <w:color w:val="0000EE"/>
            <w:u w:val="single"/>
          </w:rPr>
          <w:t>[2]</w:t>
        </w:r>
      </w:hyperlink>
      <w:hyperlink r:id="rId11">
        <w:r>
          <w:rPr>
            <w:color w:val="0000EE"/>
            <w:u w:val="single"/>
          </w:rPr>
          <w:t>[3]</w:t>
        </w:r>
      </w:hyperlink>
      <w:r/>
    </w:p>
    <w:p>
      <w:r/>
      <w:r>
        <w:t xml:space="preserve">Financial and market research underscores the scale of the transition. A market intelligence report projects AI-as-a-Service (AIaaS) to expand rapidly through the rest of the decade, while investment banks estimate cloud revenues could approach $2 trillion by 2030 with generative AI accounting for roughly 10–15% of that spend. Gartner and other analysts likewise forecast steep increases in AI-optimised infrastructure spending, with inference workloads driving a growing share of IaaS consumption. Together, these figures indicate organisations will need new procurement and consumption models to manage rising, variable cloud bills. </w:t>
      </w:r>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That economic shift is central to the executives' argument: buying "intelligence" rather than seats will force vendors to rethink pricing and metering. Houssaini and Rackspace Technology's Adhil Badat both argue the industry will move from per-user licences to usage-based models tied to AI outputs, requiring finer-grained metering and transparency around how models consume compute and data. "The old way of buying software (SaaS) meant paying a monthly fee for every employee ("seats") to use a set of fixed features, with all their data locked in a central silo. That model is breaking. In 2026, the focus will shift to AI-as-a-Service. Companies will demand software that is smart, real-time, and customised. They will pay for the actual intelligence and insights the AI provides, not the right to use the program. This move pushes smart AI assistants to the forefront and requires keeping sensitive data secure and close to home. While SaaS won't disappear, its dominance will end as AI agents become the primary interface for enterprise workflows," Houssaini said. The company framing of this change implies significant implications for vendor revenue recognition and corporate budgeting. </w:t>
      </w:r>
      <w:hyperlink r:id="rId9">
        <w:r>
          <w:rPr>
            <w:color w:val="0000EE"/>
            <w:u w:val="single"/>
          </w:rPr>
          <w:t>[1]</w:t>
        </w:r>
      </w:hyperlink>
      <w:hyperlink r:id="rId10">
        <w:r>
          <w:rPr>
            <w:color w:val="0000EE"/>
            <w:u w:val="single"/>
          </w:rPr>
          <w:t>[2]</w:t>
        </w:r>
      </w:hyperlink>
      <w:r/>
    </w:p>
    <w:p>
      <w:r/>
      <w:r>
        <w:t xml:space="preserve">Operational technology and edge deployments are another locus of change. Cloudflare expects Industrial AI to move from passive monitoring to active control of machines and systems, requiring security models that can handle vast numbers of constrained IoT devices. "Think of old factories and power plants (Operational Technology or OT) like a house alarm-they only react after something breaks. In 2026, Industrial AI changes that. AI models will constantly run the show, tuning machines and optimising systems in real-time, moving from watching to driving operations. This sudden level of automation requires a huge security upgrade. Since you can't install security software on every single robot or sensor (the IoT devices), security needs to become invisible. We'll see a massive switch to a new security model called Agentless Zero Trust, which checks the identity of every machine interaction instantly and automatically, making the whole network fabric the trusted security guard for automated equipment," Houssaini said. That agentless approach emphasises network-level inspection and policy enforcement over endpoint agents. </w:t>
      </w:r>
      <w:hyperlink r:id="rId9">
        <w:r>
          <w:rPr>
            <w:color w:val="0000EE"/>
            <w:u w:val="single"/>
          </w:rPr>
          <w:t>[1]</w:t>
        </w:r>
      </w:hyperlink>
      <w:r/>
    </w:p>
    <w:p>
      <w:r/>
      <w:r>
        <w:t xml:space="preserve">Technologies emerging from the data-streaming and edge networking worlds reinforce the practical contours of the shift. Vendors are packaging streaming-first "agents" that live in event streams and couple real-time data with AI reasoning, while academic and industry research on AI-native edge networks highlights the need for new architectures to coordinate sensing, communication and compute across distributed nodes. These developments point to architectures that place models and decisioning closer to where data is produced, reducing latency and exposure of sensitive information. </w:t>
      </w:r>
      <w:hyperlink r:id="rId14">
        <w:r>
          <w:rPr>
            <w:color w:val="0000EE"/>
            <w:u w:val="single"/>
          </w:rPr>
          <w:t>[6]</w:t>
        </w:r>
      </w:hyperlink>
      <w:hyperlink r:id="rId15">
        <w:r>
          <w:rPr>
            <w:color w:val="0000EE"/>
            <w:u w:val="single"/>
          </w:rPr>
          <w:t>[7]</w:t>
        </w:r>
      </w:hyperlink>
      <w:r/>
    </w:p>
    <w:p>
      <w:r/>
      <w:r>
        <w:t xml:space="preserve">The convergence of cost, compliance and capability will also reshape governance. Badat said subscription fatigue, multi‑cloud complexity and third‑party AI risk will drive procurement and compliance teams to demand contractual protections for bias, model drift and data use, and to adopt real‑time dashboards for usage, cost and even emissions tracking. Industry analysis supports that requirement: domain-specific models deliver better accuracy and compliance for regulated sectors but demand stronger data hygiene, fine-tuning and ongoing bias monitoring. Organisations, therefore, will need fresh tooling and governance frameworks as they scale from experiments to production. </w:t>
      </w:r>
      <w:hyperlink r:id="rId9">
        <w:r>
          <w:rPr>
            <w:color w:val="0000EE"/>
            <w:u w:val="single"/>
          </w:rPr>
          <w:t>[1]</w:t>
        </w:r>
      </w:hyperlink>
      <w:hyperlink r:id="rId12">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(IT Brief) - Paragraph 1, Paragraph 2, Paragraph 4, Paragraph 5, Paragraph 7 </w:t>
      </w:r>
      <w:r/>
    </w:p>
    <w:p>
      <w:pPr>
        <w:pStyle w:val="ListBullet"/>
        <w:spacing w:line="240" w:lineRule="auto"/>
        <w:ind w:left="720"/>
      </w:pPr>
      <w:r/>
      <w:hyperlink r:id="rId10">
        <w:r>
          <w:rPr>
            <w:color w:val="0000EE"/>
            <w:u w:val="single"/>
          </w:rPr>
          <w:t>[2]</w:t>
        </w:r>
      </w:hyperlink>
      <w:r>
        <w:t xml:space="preserve"> (Reuters) - Paragraph 2, Paragraph 4 </w:t>
      </w:r>
      <w:r/>
    </w:p>
    <w:p>
      <w:pPr>
        <w:pStyle w:val="ListBullet"/>
        <w:spacing w:line="240" w:lineRule="auto"/>
        <w:ind w:left="720"/>
      </w:pPr>
      <w:r/>
      <w:hyperlink r:id="rId11">
        <w:r>
          <w:rPr>
            <w:color w:val="0000EE"/>
            <w:u w:val="single"/>
          </w:rPr>
          <w:t>[3]</w:t>
        </w:r>
      </w:hyperlink>
      <w:r>
        <w:t xml:space="preserve"> (SNS Insider / GlobeNewswire) - Paragraph 3, Paragraph 4 </w:t>
      </w:r>
      <w:r/>
    </w:p>
    <w:p>
      <w:pPr>
        <w:pStyle w:val="ListBullet"/>
        <w:spacing w:line="240" w:lineRule="auto"/>
        <w:ind w:left="720"/>
      </w:pPr>
      <w:r/>
      <w:hyperlink r:id="rId12">
        <w:r>
          <w:rPr>
            <w:color w:val="0000EE"/>
            <w:u w:val="single"/>
          </w:rPr>
          <w:t>[4]</w:t>
        </w:r>
      </w:hyperlink>
      <w:r>
        <w:t xml:space="preserve"> (Goldman Sachs Research) - Paragraph 3, Paragraph 7 </w:t>
      </w:r>
      <w:r/>
    </w:p>
    <w:p>
      <w:pPr>
        <w:pStyle w:val="ListBullet"/>
        <w:spacing w:line="240" w:lineRule="auto"/>
        <w:ind w:left="720"/>
      </w:pPr>
      <w:r/>
      <w:hyperlink r:id="rId13">
        <w:r>
          <w:rPr>
            <w:color w:val="0000EE"/>
            <w:u w:val="single"/>
          </w:rPr>
          <w:t>[5]</w:t>
        </w:r>
      </w:hyperlink>
      <w:r>
        <w:t xml:space="preserve"> (CIO Dive / Gartner) - Paragraph 3, Paragraph 7 </w:t>
      </w:r>
      <w:r/>
    </w:p>
    <w:p>
      <w:pPr>
        <w:pStyle w:val="ListBullet"/>
        <w:spacing w:line="240" w:lineRule="auto"/>
        <w:ind w:left="720"/>
      </w:pPr>
      <w:r/>
      <w:hyperlink r:id="rId14">
        <w:r>
          <w:rPr>
            <w:color w:val="0000EE"/>
            <w:u w:val="single"/>
          </w:rPr>
          <w:t>[6]</w:t>
        </w:r>
      </w:hyperlink>
      <w:r>
        <w:t xml:space="preserve"> (Confluent) - Paragraph 6 </w:t>
      </w:r>
      <w:r/>
    </w:p>
    <w:p>
      <w:pPr>
        <w:pStyle w:val="ListBullet"/>
        <w:spacing w:line="240" w:lineRule="auto"/>
        <w:ind w:left="720"/>
      </w:pPr>
      <w:r/>
      <w:hyperlink r:id="rId15">
        <w:r>
          <w:rPr>
            <w:color w:val="0000EE"/>
            <w:u w:val="single"/>
          </w:rPr>
          <w:t>[7]</w:t>
        </w:r>
      </w:hyperlink>
      <w:r>
        <w:t xml:space="preserve"> (IEEE Communications / TNSE)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https://itbrief.com.au/story/ai-reshapes-cloud-spend-as-firms-shift-from-saas-to-agents</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https://www.reuters.com/business/media-telecom/salesforce-raises-annual-revenue-forecast-2025-12-03/</w:t>
        </w:r>
      </w:hyperlink>
      <w:r>
        <w:t xml:space="preserve"> - Salesforce has raised its fiscal 2026 revenue and adjusted profit forecasts, citing the rapid adoption of its AI products, particularly the Agentforce platform. The company now expects fiscal 2026 revenue between $41.45 billion and $41.55 billion, up from a prior estimate of $41.1–$41.3 billion. CEO Marc Benioff highlighted the significant growth of AI offerings, with Agentforce and Data 360 collectively generating nearly $1.4 billion in annual recurring revenue—a 114% year-over-year increase. The surge in AI adoption among enterprises, including other tech giants like Oracle, is credited for the improved forecast. Despite a slight miss in Q3 revenue ($10.26 billion vs. $10.27 billion expected), investor sentiment remains positive as shares rose over 2% in after-hours trading. Analyst Rebecca Wettemann noted the company's confidence in converting AI pilot programs into future sales, amid broader industry scrutiny over AI investments.</w:t>
      </w:r>
      <w:r/>
    </w:p>
    <w:p>
      <w:pPr>
        <w:pStyle w:val="ListNumber"/>
        <w:spacing w:line="240" w:lineRule="auto"/>
        <w:ind w:left="720"/>
      </w:pPr>
      <w:r/>
      <w:hyperlink r:id="rId11">
        <w:r>
          <w:rPr>
            <w:color w:val="0000EE"/>
            <w:u w:val="single"/>
          </w:rPr>
          <w:t>https://www.globenewswire.com/news-release/2025/10/20/3169158/0/en/AI-as-a-Service-AIaaS-Market-to-Reach-USD-209-49-Billion-by-2033-Driven-by-Cloud-Based-AI-Adoption-Report-by-SNS-Insider.html</w:t>
        </w:r>
      </w:hyperlink>
      <w:r>
        <w:t xml:space="preserve"> - The AI as a Service (AIaaS) market is expanding rapidly as industries embrace scalable, cloud-powered AI platforms to enhance automation, decision-making, and customer engagement while minimizing infrastructure costs. The market size was valued at USD 18.17 Billion in 2025 and is expected to reach USD 209.49 Billion by 2033, growing at a CAGR of 35.76% over 2026-2033. The U.S. AIaaS market size was USD 4.78 Billion in 2025 and is expected to reach USD 54.04 Billion by 2033, growing at a CAGR of 35.44% over 2026-2033. Advanced cloud infrastructure, early business AI adoption, substantial investments, and the broad usage of AI-powered analytics, automation, and industry-specific solutions across the BFSI, healthcare, retail, and IT sectors are the main factors propelling the U.S. market.</w:t>
      </w:r>
      <w:r/>
    </w:p>
    <w:p>
      <w:pPr>
        <w:pStyle w:val="ListNumber"/>
        <w:spacing w:line="240" w:lineRule="auto"/>
        <w:ind w:left="720"/>
      </w:pPr>
      <w:r/>
      <w:hyperlink r:id="rId12">
        <w:r>
          <w:rPr>
            <w:color w:val="0000EE"/>
            <w:u w:val="single"/>
          </w:rPr>
          <w:t>https://www.goldmansachs.com/insights/articles/cloud-revenues-poised-to-reach-2-trillion-by-2030-amid-ai-rollout</w:t>
        </w:r>
      </w:hyperlink>
      <w:r>
        <w:t xml:space="preserve"> - Cloud computing sales are expected to rise to $2 trillion by the end of the decade, according to Goldman Sachs Research. Generative artificial intelligence is forecast to account for about 10-15% of the spending. The total addressable market for cloud services is poised to expand at a 22% compound annual growth rate from 2024 to 2030. Generative AI could constitute $200 billion to $300 billion of cloud spending, as investment moves beyond mega technology companies and foundation model providers. Companies spending on digital transformation and cloud modernization will contribute to the surge in cloud computing sales. Only about 30% of workloads have moved to the cloud, according to a recent survey by Goldman Sachs Research. The estimate for cloud revenue growth is also based on recent historical precedent—the market more than doubled between 2019 and 2023 to $496 billion, representing a 26% compound annual growth rate.</w:t>
      </w:r>
      <w:r/>
    </w:p>
    <w:p>
      <w:pPr>
        <w:pStyle w:val="ListNumber"/>
        <w:spacing w:line="240" w:lineRule="auto"/>
        <w:ind w:left="720"/>
      </w:pPr>
      <w:r/>
      <w:hyperlink r:id="rId13">
        <w:r>
          <w:rPr>
            <w:color w:val="0000EE"/>
            <w:u w:val="single"/>
          </w:rPr>
          <w:t>https://www.ciodive.com/news/ai-optimized-iaas-spend-up/802918/</w:t>
        </w:r>
      </w:hyperlink>
      <w:r>
        <w:t xml:space="preserve"> - Enterprise spend on AI-optimized Infrastructure as a Service (IaaS) is expected to increase 146% by the end of 2025, according to Gartner. Spending on the category will reach $18.3 billion this year. More than half—55%—of AI-optimized IaaS spend will be driven by inferencing rather than training workloads in 2026, according to Gartner.</w:t>
      </w:r>
      <w:r/>
    </w:p>
    <w:p>
      <w:pPr>
        <w:pStyle w:val="ListNumber"/>
        <w:spacing w:line="240" w:lineRule="auto"/>
        <w:ind w:left="720"/>
      </w:pPr>
      <w:r/>
      <w:hyperlink r:id="rId14">
        <w:r>
          <w:rPr>
            <w:color w:val="0000EE"/>
            <w:u w:val="single"/>
          </w:rPr>
          <w:t>https://www.comfluent.io/blog/2025-q4-confluent-cloud-launch/</w:t>
        </w:r>
      </w:hyperlink>
      <w:r>
        <w:t xml:space="preserve"> - Confluent introduces Confluent Intelligence, a vision for bringing real-time, trustworthy data to production AI systems through the power of Kafka and Flink. Built on their cloud-native data streaming platform, Confluent Intelligence is designed to solve the complex data problems at the heart of AI. Streaming Agents enables building, deploying, and orchestrating event-driven AI agents natively on Confluent Cloud for Apache Flink®, unifying data processing and AI reasoning in a single, powerful framework. Unlike traditional agent frameworks that are disconnected from data, Streaming Agents live in the event streams, giving them the freshest and most accurate view of your business in motion. This allows it to observe, decide, and act in real time to power intelligent context-aware automation.</w:t>
      </w:r>
      <w:r/>
    </w:p>
    <w:p>
      <w:pPr>
        <w:pStyle w:val="ListNumber"/>
        <w:spacing w:line="240" w:lineRule="auto"/>
        <w:ind w:left="720"/>
      </w:pPr>
      <w:r/>
      <w:hyperlink r:id="rId15">
        <w:r>
          <w:rPr>
            <w:color w:val="0000EE"/>
            <w:u w:val="single"/>
          </w:rPr>
          <w:t>https://www.comsoc.org/publications/journals/ieee-tnse/cfp/foundation-model-empowered-intelligent-networks-ai-native-edge</w:t>
        </w:r>
      </w:hyperlink>
      <w:r>
        <w:t xml:space="preserve"> - As wireless systems advance toward 6G and beyond, there is an escalating demand for intelligent integration of communication, sensing, and edge intelligence to effectively manage complex and dynamic networking environments. This integration is fundamentally a networking challenge, requiring novel architectures, protocols, and paradigms to handle heterogeneous data flows, ultra-reliable connection, stringent latency constraints across distributed nodes. Traditional architectures struggle to cope with the diverse and voluminous data generated by technologies such as LiDAR, RF radar, and computer vision. This challenge necessitates AI-native solutions that ensure seamless coordination among communication, computation, control, and sensing components at the edge.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m.au/story/ai-reshapes-cloud-spend-as-firms-shift-from-saas-to-agents" TargetMode="External"/><Relationship Id="rId10" Type="http://schemas.openxmlformats.org/officeDocument/2006/relationships/hyperlink" Target="https://www.reuters.com/business/media-telecom/salesforce-raises-annual-revenue-forecast-2025-12-03/" TargetMode="External"/><Relationship Id="rId11" Type="http://schemas.openxmlformats.org/officeDocument/2006/relationships/hyperlink" Target="https://www.globenewswire.com/news-release/2025/10/20/3169158/0/en/AI-as-a-Service-AIaaS-Market-to-Reach-USD-209-49-Billion-by-2033-Driven-by-Cloud-Based-AI-Adoption-Report-by-SNS-Insider.html" TargetMode="External"/><Relationship Id="rId12" Type="http://schemas.openxmlformats.org/officeDocument/2006/relationships/hyperlink" Target="https://www.goldmansachs.com/insights/articles/cloud-revenues-poised-to-reach-2-trillion-by-2030-amid-ai-rollout" TargetMode="External"/><Relationship Id="rId13" Type="http://schemas.openxmlformats.org/officeDocument/2006/relationships/hyperlink" Target="https://www.ciodive.com/news/ai-optimized-iaas-spend-up/802918/" TargetMode="External"/><Relationship Id="rId14" Type="http://schemas.openxmlformats.org/officeDocument/2006/relationships/hyperlink" Target="https://www.comfluent.io/blog/2025-q4-confluent-cloud-launch/" TargetMode="External"/><Relationship Id="rId15" Type="http://schemas.openxmlformats.org/officeDocument/2006/relationships/hyperlink" Target="https://www.comsoc.org/publications/journals/ieee-tnse/cfp/foundation-model-empowered-intelligent-networks-ai-native-ed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