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Vietnam's new digital laws tighten state control while promoting domestic tech industry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Vietnam’s National Assembly has approved a package of laws that together create the country's first comprehensive regulatory regime for artificial intelligence while reinforcing state control over data, digital infrastructure and online information. According to the original report, lawmakers passed a standalone AI law adopting a risk‑based regulatory approach alongside sweeping changes to cybersecurity, intellectual property and a new digital‑technology framework. </w:t>
      </w:r>
      <w:hyperlink r:id="rId9">
        <w:r>
          <w:rPr>
            <w:color w:val="0000EE"/>
            <w:u w:val="single"/>
          </w:rPr>
          <w:t>[1]</w:t>
        </w:r>
      </w:hyperlink>
      <w:r/>
    </w:p>
    <w:p>
      <w:r/>
      <w:r>
        <w:t xml:space="preserve">The AI measure establishes differentiated obligations according to the level of risk posed by systems and places explicit limits on intellectual property protection for AI‑generated works, with the legislature confirming that works created solely by AI will not receive IP protection. According to the original report, that decision aligns IP rules with the state’s position that human authorship remains a prerequisite for copyright. </w:t>
      </w:r>
      <w:hyperlink r:id="rId9">
        <w:r>
          <w:rPr>
            <w:color w:val="0000EE"/>
            <w:u w:val="single"/>
          </w:rPr>
          <w:t>[1]</w:t>
        </w:r>
      </w:hyperlink>
      <w:r/>
    </w:p>
    <w:p>
      <w:r/>
      <w:r>
        <w:t xml:space="preserve">Revisions to the cybersecurity law preserve strict data‑localisation requirements and broaden state oversight of digital infrastructure. The original report noted the updated law retains obligations for certain data to be stored domestically, while expanding authorities’ powers to monitor and manage online content and infrastructure. Those changes come as part of a broader consolidation of regulatory control over the digital sphere. </w:t>
      </w:r>
      <w:hyperlink r:id="rId9">
        <w:r>
          <w:rPr>
            <w:color w:val="0000EE"/>
            <w:u w:val="single"/>
          </w:rPr>
          <w:t>[1]</w:t>
        </w:r>
      </w:hyperlink>
      <w:r/>
    </w:p>
    <w:p>
      <w:r/>
      <w:r>
        <w:t xml:space="preserve">The package also includes the Law on Digital Technology Industry, a landmark statute designed to institutionalise a national digital‑transformation strategy and to promote sectors such as semiconductors, AI and digital assets. Industry commentary and legal summaries say the law formalises incentives, talent development programmes, infrastructure targets and sandbox mechanisms intended to accelerate domestic technological capacity and international integration. The law is being presented as a tool to create large numbers of digital firms and to lift the digital economy’s share of GDP substantially by 2030 and beyond. </w:t>
      </w:r>
      <w:hyperlink r:id="rId10">
        <w:r>
          <w:rPr>
            <w:color w:val="0000EE"/>
            <w:u w:val="single"/>
          </w:rPr>
          <w:t>[3]</w:t>
        </w:r>
      </w:hyperlink>
      <w:hyperlink r:id="rId11">
        <w:r>
          <w:rPr>
            <w:color w:val="0000EE"/>
            <w:u w:val="single"/>
          </w:rPr>
          <w:t>[4]</w:t>
        </w:r>
      </w:hyperlink>
      <w:hyperlink r:id="rId12">
        <w:r>
          <w:rPr>
            <w:color w:val="0000EE"/>
            <w:u w:val="single"/>
          </w:rPr>
          <w:t>[5]</w:t>
        </w:r>
      </w:hyperlink>
      <w:hyperlink r:id="rId13">
        <w:r>
          <w:rPr>
            <w:color w:val="0000EE"/>
            <w:u w:val="single"/>
          </w:rPr>
          <w:t>[6]</w:t>
        </w:r>
      </w:hyperlink>
      <w:r/>
    </w:p>
    <w:p>
      <w:r/>
      <w:r>
        <w:t xml:space="preserve">At the same time, the government has begun to lay formal groundwork for a regulated crypto asset market: legal analysis shows Hanoi launched a five‑year pilot programme for crypto assets, providing a nascent framework for issuance, trading and oversight that will operate alongside the new digital‑technology law. Those moves indicate an ambition to nurture home‑grown digital industries while keeping them tightly governed. </w:t>
      </w:r>
      <w:hyperlink r:id="rId10">
        <w:r>
          <w:rPr>
            <w:color w:val="0000EE"/>
            <w:u w:val="single"/>
          </w:rPr>
          <w:t>[3]</w:t>
        </w:r>
      </w:hyperlink>
      <w:r/>
    </w:p>
    <w:p>
      <w:r/>
      <w:r>
        <w:t xml:space="preserve">Press‑freedom and human‑rights advocates say the legislative package must be read alongside parallel reforms to media and state secrets laws that expand state powers and constrain journalistic protections. Reporting indicates the amended press and state secrets statutes widen authorities’ ability to demand source disclosure, broaden the definition of protected state secrets to include officials’ overseas activities and international legal settlements, and increase penalties for unauthorised disclosures. Rights groups warn those measures will further restrict independent reporting and civic space. </w:t>
      </w:r>
      <w:hyperlink r:id="rId14">
        <w:r>
          <w:rPr>
            <w:color w:val="0000EE"/>
            <w:u w:val="single"/>
          </w:rPr>
          <w:t>[2]</w:t>
        </w:r>
      </w:hyperlink>
      <w:r/>
    </w:p>
    <w:p>
      <w:r/>
      <w:r>
        <w:t xml:space="preserve">Observers say the combined effect of the laws is to marry an economic push for digital industrialisation with robust state oversight. Government and legislative sources present the reforms as necessary to secure national sovereignty over data and to foster a competitive domestic digital sector. Civil society and international rights organisations counter that expanded policing powers, data‑localisation rules and tighter media controls risk chilling free expression and complicating international cooperation in technology. </w:t>
      </w:r>
      <w:hyperlink r:id="rId9">
        <w:r>
          <w:rPr>
            <w:color w:val="0000EE"/>
            <w:u w:val="single"/>
          </w:rPr>
          <w:t>[1]</w:t>
        </w:r>
      </w:hyperlink>
      <w:hyperlink r:id="rId14">
        <w:r>
          <w:rPr>
            <w:color w:val="0000EE"/>
            <w:u w:val="single"/>
          </w:rPr>
          <w:t>[2]</w:t>
        </w:r>
      </w:hyperlink>
      <w:hyperlink r:id="rId12">
        <w:r>
          <w:rPr>
            <w:color w:val="0000EE"/>
            <w:u w:val="single"/>
          </w:rPr>
          <w:t>[5]</w:t>
        </w:r>
      </w:hyperlink>
      <w:r/>
    </w:p>
    <w:p>
      <w:r/>
      <w:r>
        <w:t xml:space="preserve">The legal package arrives as Hanoi prepares to host and participate in international cyber and digital governance initiatives. The timing has drawn attention internationally: while the country signals ambitions to become a regional technology hub, analysts caution that a regulatory model prioritising state control will shape how foreign firms, investors and rights advocates engage with Vietnam’s rapidly evolving digital economy. Industry data and legal commentators suggest the practical outcome will hinge on implementing regulations, enforcement choices and how sandbox programmes balance innovation with regulatory safeguards. </w:t>
      </w:r>
      <w:hyperlink r:id="rId15">
        <w:r>
          <w:rPr>
            <w:color w:val="0000EE"/>
            <w:u w:val="single"/>
          </w:rPr>
          <w:t>[7]</w:t>
        </w:r>
      </w:hyperlink>
      <w:hyperlink r:id="rId10">
        <w:r>
          <w:rPr>
            <w:color w:val="0000EE"/>
            <w:u w:val="single"/>
          </w:rPr>
          <w:t>[3]</w:t>
        </w:r>
      </w:hyperlink>
      <w:hyperlink r:id="rId12">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(MLex) - Paragraph 1, Paragraph 2, Paragraph 3, Paragraph 7 </w:t>
      </w:r>
      <w:r/>
    </w:p>
    <w:p>
      <w:pPr>
        <w:pStyle w:val="ListBullet"/>
        <w:spacing w:line="240" w:lineRule="auto"/>
        <w:ind w:left="720"/>
      </w:pPr>
      <w:r/>
      <w:hyperlink r:id="rId14">
        <w:r>
          <w:rPr>
            <w:color w:val="0000EE"/>
            <w:u w:val="single"/>
          </w:rPr>
          <w:t>[2]</w:t>
        </w:r>
      </w:hyperlink>
      <w:r>
        <w:t xml:space="preserve"> (Reuters) - Paragraph 6, Paragraph 7 </w:t>
      </w:r>
      <w:r/>
    </w:p>
    <w:p>
      <w:pPr>
        <w:pStyle w:val="ListBullet"/>
        <w:spacing w:line="240" w:lineRule="auto"/>
        <w:ind w:left="720"/>
      </w:pPr>
      <w:r/>
      <w:hyperlink r:id="rId10">
        <w:r>
          <w:rPr>
            <w:color w:val="0000EE"/>
            <w:u w:val="single"/>
          </w:rPr>
          <w:t>[3]</w:t>
        </w:r>
      </w:hyperlink>
      <w:r>
        <w:t xml:space="preserve"> (Allen &amp; Gledhill) - Paragraph 4, Paragraph 5, Paragraph 8 </w:t>
      </w:r>
      <w:r/>
    </w:p>
    <w:p>
      <w:pPr>
        <w:pStyle w:val="ListBullet"/>
        <w:spacing w:line="240" w:lineRule="auto"/>
        <w:ind w:left="720"/>
      </w:pPr>
      <w:r/>
      <w:hyperlink r:id="rId11">
        <w:r>
          <w:rPr>
            <w:color w:val="0000EE"/>
            <w:u w:val="single"/>
          </w:rPr>
          <w:t>[4]</w:t>
        </w:r>
      </w:hyperlink>
      <w:r>
        <w:t xml:space="preserve"> (Vietnam Law Service) - Paragraph 4 </w:t>
      </w:r>
      <w:r/>
    </w:p>
    <w:p>
      <w:pPr>
        <w:pStyle w:val="ListBullet"/>
        <w:spacing w:line="240" w:lineRule="auto"/>
        <w:ind w:left="720"/>
      </w:pPr>
      <w:r/>
      <w:hyperlink r:id="rId12">
        <w:r>
          <w:rPr>
            <w:color w:val="0000EE"/>
            <w:u w:val="single"/>
          </w:rPr>
          <w:t>[5]</w:t>
        </w:r>
      </w:hyperlink>
      <w:r>
        <w:t xml:space="preserve"> (NO&amp;AT) - Paragraph 4, Paragraph 7, Paragraph 8 </w:t>
      </w:r>
      <w:r/>
    </w:p>
    <w:p>
      <w:pPr>
        <w:pStyle w:val="ListBullet"/>
        <w:spacing w:line="240" w:lineRule="auto"/>
        <w:ind w:left="720"/>
      </w:pPr>
      <w:r/>
      <w:hyperlink r:id="rId13">
        <w:r>
          <w:rPr>
            <w:color w:val="0000EE"/>
            <w:u w:val="single"/>
          </w:rPr>
          <w:t>[6]</w:t>
        </w:r>
      </w:hyperlink>
      <w:r>
        <w:t xml:space="preserve"> (Vietnam Briefing) - Paragraph 4 </w:t>
      </w:r>
      <w:r/>
    </w:p>
    <w:p>
      <w:pPr>
        <w:pStyle w:val="ListBullet"/>
        <w:spacing w:line="240" w:lineRule="auto"/>
        <w:ind w:left="720"/>
      </w:pPr>
      <w:r/>
      <w:hyperlink r:id="rId15">
        <w:r>
          <w:rPr>
            <w:color w:val="0000EE"/>
            <w:u w:val="single"/>
          </w:rPr>
          <w:t>[7]</w:t>
        </w:r>
      </w:hyperlink>
      <w:r>
        <w:t xml:space="preserve"> (Reuters - UN cybercrime pact)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https://www.mlex.com/mlex/articles/2420813/vietnam-pairs-first-ai-law-with-sweeping-digital-ip-and-cybersecurity-reforms</w:t>
        </w:r>
      </w:hyperlink>
      <w:r>
        <w:t xml:space="preserve"> - Please view link - unable to able to access data</w:t>
      </w:r>
      <w:r/>
    </w:p>
    <w:p>
      <w:pPr>
        <w:pStyle w:val="ListNumber"/>
        <w:spacing w:line="240" w:lineRule="auto"/>
        <w:ind w:left="720"/>
      </w:pPr>
      <w:r/>
      <w:hyperlink r:id="rId14">
        <w:r>
          <w:rPr>
            <w:color w:val="0000EE"/>
            <w:u w:val="single"/>
          </w:rPr>
          <w:t>https://www.reuters.com/business/media-telecom/vietnam-set-make-it-harder-media-protect-sources-expand-state-secrets-2025-12-10/</w:t>
        </w:r>
      </w:hyperlink>
      <w:r>
        <w:t xml:space="preserve"> - Vietnam's parliament has approved significant reforms to its media and state secrets laws that press freedom advocates say will severely limit journalistic freedoms. The new legislation, scheduled to take effect in 2025 (March for the state secrets law and July for the press law), mandates that journalists must disclose sources upon request during any criminal investigation, removing the current restriction to only serious crimes. Additionally, authority to demand source disclosure is expanded from judges to include public security and local police. These reforms coincide with an increasingly repressive media environment in the one-party Communist state. Recent actions include revoking passports of foreign media workers, banning print editions of foreign publications, suspending messaging apps, and enhancing the powers of public security forces. Reporters Without Borders condemned the changes, with spokesperson Aleksandra Bielakowska warning that Vietnam is becoming nearly impossible for free reporting, noting 28 journalists are imprisoned under harsh conditions. The amended state secrets law broadens state secrecy protections to include information on leaders’ overseas activities and international legal settlements, reinforcing strict penalties for disclosure. These legal changes are seen as tools for further stifling dissent and controlling press activity in the country.</w:t>
      </w:r>
      <w:r/>
    </w:p>
    <w:p>
      <w:pPr>
        <w:pStyle w:val="ListNumber"/>
        <w:spacing w:line="240" w:lineRule="auto"/>
        <w:ind w:left="720"/>
      </w:pPr>
      <w:r/>
      <w:hyperlink r:id="rId10">
        <w:r>
          <w:rPr>
            <w:color w:val="0000EE"/>
            <w:u w:val="single"/>
          </w:rPr>
          <w:t>https://www.allenandgledhill.com/publication/articles/31333/establishes-digital-technology-framework-and-launches-crypto-asset-market-pilot-program?agreed=cookiepolicy</w:t>
        </w:r>
      </w:hyperlink>
      <w:r>
        <w:t xml:space="preserve"> - Vietnam has enacted the Law on Digital Technology Industry, encompassing the production of digital technology products, including semiconductors, artificial intelligence (AI), and digital assets. Separately, on 9 September 2025, the Government launched a five-year pilot program for Vietnam’s crypto asset market through Resolution 05/2025/NQ-CP, providing, for the first time, a formal legal framework for the issuance, trade, and management of crypto assets. This article summarises some of the key aspects of these changes to Vietnam’s digital framework.</w:t>
      </w:r>
      <w:r/>
    </w:p>
    <w:p>
      <w:pPr>
        <w:pStyle w:val="ListNumber"/>
        <w:spacing w:line="240" w:lineRule="auto"/>
        <w:ind w:left="720"/>
      </w:pPr>
      <w:r/>
      <w:hyperlink r:id="rId11">
        <w:r>
          <w:rPr>
            <w:color w:val="0000EE"/>
            <w:u w:val="single"/>
          </w:rPr>
          <w:t>https://vietnamlawservice.com/media/view/185651</w:t>
        </w:r>
      </w:hyperlink>
      <w:r>
        <w:t xml:space="preserve"> - On June 14th, 2025, at its 9th Session, 15th Legislature, the Vietnamese National Assembly passed the Law on Digital Technology Industry. This marks Vietnam’s first specialized law enacted to promote the development of digital technology industries, including semiconductors, artificial intelligence (AI), and digital assets. The DTI Law is anticipated to be a crucial institutional leverage for national digital transformation, paving the way for domestic technology enterprises to develop sustainably and integrate internationally.</w:t>
      </w:r>
      <w:r/>
    </w:p>
    <w:p>
      <w:pPr>
        <w:pStyle w:val="ListNumber"/>
        <w:spacing w:line="240" w:lineRule="auto"/>
        <w:ind w:left="720"/>
      </w:pPr>
      <w:r/>
      <w:hyperlink r:id="rId12">
        <w:r>
          <w:rPr>
            <w:color w:val="0000EE"/>
            <w:u w:val="single"/>
          </w:rPr>
          <w:t>https://www.noandt.com/en/publications/publication20250929-1/</w:t>
        </w:r>
      </w:hyperlink>
      <w:r>
        <w:t xml:space="preserve"> - The Law on Digital Technology Industry (DTI Law) has promptly institutionalized many aspects of Resolution No.57-NQ/TW and Resolution No.68-NQ/TW of the Politburo, such as incentives and support for the development of digital technology enterprises, developing high-quality workers and digital technology talents, developing essential digital technology infrastructure, supporting innovative startups and building a legal framework for sandbox mechanisms to pilot emerging technologies. The policies outlined in the DTI Law are designed to help Vietnam achieve several ambitious goals, including: Establishing 150,000 digital technology firms by 2035; Making digital technology a primary driver of economic growth, with the sector expected to grow at 2–3 times the national GDP growth rate; Expanding the digital economy to account for at least 30% of GDP by 2030 and 50% by 2045; Positioning Vietnam among the world’s top 30 countries in terms of innovation and digital transformation.</w:t>
      </w:r>
      <w:r/>
    </w:p>
    <w:p>
      <w:pPr>
        <w:pStyle w:val="ListNumber"/>
        <w:spacing w:line="240" w:lineRule="auto"/>
        <w:ind w:left="720"/>
      </w:pPr>
      <w:r/>
      <w:hyperlink r:id="rId13">
        <w:r>
          <w:rPr>
            <w:color w:val="0000EE"/>
            <w:u w:val="single"/>
          </w:rPr>
          <w:t>https://www.vietnam-briefing.com/news/vietnam-passes-first-ever-law-on-digital-technology-industry.html/</w:t>
        </w:r>
      </w:hyperlink>
      <w:r>
        <w:t xml:space="preserve"> - Vietnam has officially become the first country in the world to enact a standalone law dedicated exclusively to the digital technology industry. Passed on June 14, 2025, during the ninth sitting of the 15th National Assembly, the Law on Digital Technology Industry (Digital Technology Law) will come into effect on January 1, 2026. With overwhelming support, 441 out of 445 deputies voting in favor, the law is positioned to change Vietnam’s digital economy, bringing legal certainty to sectors such as artificial intelligence (AI), digital assets, and data services.</w:t>
      </w:r>
      <w:r/>
    </w:p>
    <w:p>
      <w:pPr>
        <w:pStyle w:val="ListNumber"/>
        <w:spacing w:line="240" w:lineRule="auto"/>
        <w:ind w:left="720"/>
      </w:pPr>
      <w:r/>
      <w:hyperlink r:id="rId15">
        <w:r>
          <w:rPr>
            <w:color w:val="0000EE"/>
            <w:u w:val="single"/>
          </w:rPr>
          <w:t>https://www.reuters.com/sustainability/society-equity/un-cybercrime-pact-to-be-signed-in-hanoi-raises-hopes-concerns-2025-10-22/</w:t>
        </w:r>
      </w:hyperlink>
      <w:r>
        <w:t xml:space="preserve"> - A landmark U.N. cybercrime agreement aimed at curbing offences that cost the global economy trillions of dollars annually is set to be signed by representatives from dozens of states in Hanoi this weekend, despite criticism over human rights risks. The convention, which would come into force ... . Activists, major technology companies and ... . The list of signatories has not ... .</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lex.com/mlex/articles/2420813/vietnam-pairs-first-ai-law-with-sweeping-digital-ip-and-cybersecurity-reforms" TargetMode="External"/><Relationship Id="rId10" Type="http://schemas.openxmlformats.org/officeDocument/2006/relationships/hyperlink" Target="https://www.allenandgledhill.com/publication/articles/31333/establishes-digital-technology-framework-and-launches-crypto-asset-market-pilot-program?agreed=cookiepolicy" TargetMode="External"/><Relationship Id="rId11" Type="http://schemas.openxmlformats.org/officeDocument/2006/relationships/hyperlink" Target="https://vietnamlawservice.com/media/view/185651" TargetMode="External"/><Relationship Id="rId12" Type="http://schemas.openxmlformats.org/officeDocument/2006/relationships/hyperlink" Target="https://www.noandt.com/en/publications/publication20250929-1/" TargetMode="External"/><Relationship Id="rId13" Type="http://schemas.openxmlformats.org/officeDocument/2006/relationships/hyperlink" Target="https://www.vietnam-briefing.com/news/vietnam-passes-first-ever-law-on-digital-technology-industry.html/" TargetMode="External"/><Relationship Id="rId14" Type="http://schemas.openxmlformats.org/officeDocument/2006/relationships/hyperlink" Target="https://www.reuters.com/business/media-telecom/vietnam-set-make-it-harder-media-protect-sources-expand-state-secrets-2025-12-10/" TargetMode="External"/><Relationship Id="rId15" Type="http://schemas.openxmlformats.org/officeDocument/2006/relationships/hyperlink" Target="https://www.reuters.com/sustainability/society-equity/un-cybercrime-pact-to-be-signed-in-hanoi-raises-hopes-concerns-2025-10-2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