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Gyeonggi-do and NIA establish Pangyo as a regional hub for AI ethics education and innovation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Gyeonggi-do Economic and Science Accelerator and the Korea Intelligence Information Society Agency (NIA) have signed a memorandum of understanding to establish Pangyo as a regional hub for AI and digital ethics education, seeking to embed fairness, security, transparency and accountability into the fast-expanding use of generative AI. According to the original report, the MOU , signed on December 12 at the NIA's Seoul office , commits both organisations to build training programmes that industry, academia and public institutions can use in practice and to promote inclusive digital transformation across Pangyo Techno Valley. </w:t>
      </w:r>
      <w:hyperlink r:id="rId9">
        <w:r>
          <w:rPr>
            <w:color w:val="0000EE"/>
            <w:u w:val="single"/>
          </w:rPr>
          <w:t>[1]</w:t>
        </w:r>
      </w:hyperlink>
      <w:hyperlink r:id="rId9">
        <w:r>
          <w:rPr>
            <w:color w:val="0000EE"/>
            <w:u w:val="single"/>
          </w:rPr>
          <w:t>[2]</w:t>
        </w:r>
      </w:hyperlink>
      <w:r/>
    </w:p>
    <w:p>
      <w:r/>
      <w:r>
        <w:t xml:space="preserve">Under the agreement, the partners will jointly plan and develop educational content covering digital safety, data ethics and practical guides for generative AI, and will create case-based, practice-oriented curricula designed to address recurring AI misuse in industry. The organisations said they will link infrastructure and expand corporate participation to raise both the quality and accessibility of ethics training. </w:t>
      </w:r>
      <w:hyperlink r:id="rId9">
        <w:r>
          <w:rPr>
            <w:color w:val="0000EE"/>
            <w:u w:val="single"/>
          </w:rPr>
          <w:t>[1]</w:t>
        </w:r>
      </w:hyperlink>
      <w:hyperlink r:id="rId9">
        <w:r>
          <w:rPr>
            <w:color w:val="0000EE"/>
            <w:u w:val="single"/>
          </w:rPr>
          <w:t>[2]</w:t>
        </w:r>
      </w:hyperlink>
      <w:r/>
    </w:p>
    <w:p>
      <w:r/>
      <w:r>
        <w:t xml:space="preserve">The initiative forms part of a broader Gyeonggi Province strategy to make Pangyo a national AI cluster. Local government and agencies have already opened facilities and programmes to support AI talent, startups and testing: the Gyeonggi AI Campus, opened in October 2024, provides training and collaboration space for experts and entrepreneurs, while plans for a Pangyo “AI City” envisage an AI Technology Safe Zone for analysing sensitive data and shared provision of GPUs and domestically produced AI semiconductors. Industry officials describe these moves as efforts to couple technical capacity with governance and practical skills. </w:t>
      </w:r>
      <w:hyperlink r:id="rId10">
        <w:r>
          <w:rPr>
            <w:color w:val="0000EE"/>
            <w:u w:val="single"/>
          </w:rPr>
          <w:t>[3]</w:t>
        </w:r>
      </w:hyperlink>
      <w:hyperlink r:id="rId11">
        <w:r>
          <w:rPr>
            <w:color w:val="0000EE"/>
            <w:u w:val="single"/>
          </w:rPr>
          <w:t>[4]</w:t>
        </w:r>
      </w:hyperlink>
      <w:r/>
    </w:p>
    <w:p>
      <w:r/>
      <w:r>
        <w:t xml:space="preserve">Provincial ambitions have broadened into a network of physical AI innovation clusters across Gyeonggi, with Pangyo named as the hub. The province and the Gyeonggi Business &amp; Science Accelerator began recruiting tenant companies for six AI clusters in September 2025, offering tailored support such as AI proof-of-concept assistance, smart hybrid workspaces and professional consulting; complementary investments of 100 billion KRW into nine major AI strategic projects have been announced to deepen links between firms, universities and global research partners. These programmes are intended to ensure that ethical training sits alongside hands-on resources and verification environments. </w:t>
      </w:r>
      <w:hyperlink r:id="rId12">
        <w:r>
          <w:rPr>
            <w:color w:val="0000EE"/>
            <w:u w:val="single"/>
          </w:rPr>
          <w:t>[5]</w:t>
        </w:r>
      </w:hyperlink>
      <w:hyperlink r:id="rId13">
        <w:r>
          <w:rPr>
            <w:color w:val="0000EE"/>
            <w:u w:val="single"/>
          </w:rPr>
          <w:t>[6]</w:t>
        </w:r>
      </w:hyperlink>
      <w:r/>
    </w:p>
    <w:p>
      <w:r/>
      <w:r>
        <w:t xml:space="preserve">Pangyo has also become home to specialised safety research capacity: an AI Safety Research Institute opened in the district to study risks stemming from technical limitations, misuse and potential loss of control, and to participate in international networks for AI safety research. Together with the new ethics education hub, that institute creates a local ecosystem combining research, oversight and practitioner training. </w:t>
      </w:r>
      <w:hyperlink r:id="rId14">
        <w:r>
          <w:rPr>
            <w:color w:val="0000EE"/>
            <w:u w:val="single"/>
          </w:rPr>
          <w:t>[7]</w:t>
        </w:r>
      </w:hyperlink>
      <w:r/>
    </w:p>
    <w:p>
      <w:r/>
      <w:r>
        <w:t xml:space="preserve">The MOU followed an "AI Great Transformation Open Seminar" in Pangyo that brought together public and private stakeholders and featured lectures and panels on human-centred AI and sector-specific ethical challenges. According to the original report, speakers included UNIST Special Professor Lee Se-dol, Jeon Chang-bae, chairman of the International Artificial Intelligence Ethics Association, and writer Song Gil-young, who discussed practical countermeasures for industry. Hyun Chang-ha, executive director of the Future New Industry Division, said at the event: "In the AI era, responsible use is as important as technology speed." </w:t>
      </w:r>
      <w:hyperlink r:id="rId9">
        <w:r>
          <w:rPr>
            <w:color w:val="0000EE"/>
            <w:u w:val="single"/>
          </w:rPr>
          <w:t>[1]</w:t>
        </w:r>
      </w:hyperlink>
      <w:r/>
    </w:p>
    <w:p>
      <w:r/>
      <w:r>
        <w:t xml:space="preserve">Officials said the educational hub will be developed with a pragmatic orientation , emphasising case studies, workplace-relevant modules and pathways for company engagement , so firms and developers can apply ethical principles immediately. Industry data and provincial planning indicate this approach aims to reduce repetitive compliance failures and to make ethical standards operational rather than solely rhetorical. </w:t>
      </w:r>
      <w:hyperlink r:id="rId9">
        <w:r>
          <w:rPr>
            <w:color w:val="0000EE"/>
            <w:u w:val="single"/>
          </w:rPr>
          <w:t>[1]</w:t>
        </w:r>
      </w:hyperlink>
      <w:hyperlink r:id="rId13">
        <w:r>
          <w:rPr>
            <w:color w:val="0000EE"/>
            <w:u w:val="single"/>
          </w:rPr>
          <w:t>[6]</w:t>
        </w:r>
      </w:hyperlink>
      <w:r/>
    </w:p>
    <w:p>
      <w:r/>
      <w:r>
        <w:t xml:space="preserve">The partners framed the agreement as a step to embed an ethical culture across the region's AI ecosystem while preserving Pangyo's role as a centre for innovation and commercialisation. The company and agency said they will continue to expand networks between local firms, academic institutions and public bodies to sustain an ethical AI ecosystem that is both practice-driven and scalable. </w:t>
      </w:r>
      <w:hyperlink r:id="rId9">
        <w:r>
          <w:rPr>
            <w:color w:val="0000EE"/>
            <w:u w:val="single"/>
          </w:rPr>
          <w:t>[1]</w:t>
        </w:r>
      </w:hyperlink>
      <w:hyperlink r:id="rId9">
        <w:r>
          <w:rPr>
            <w:color w:val="0000EE"/>
            <w:u w:val="single"/>
          </w:rPr>
          <w:t>[2]</w:t>
        </w:r>
      </w:hyperlink>
      <w:hyperlink r:id="rId10">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(Maeil Business Newspaper / mk.co.kr) - Paragraph 1, Paragraph 2, Paragraph 6, Paragraph 7, Paragraph 8 </w:t>
      </w:r>
      <w:r/>
    </w:p>
    <w:p>
      <w:pPr>
        <w:pStyle w:val="ListBullet"/>
        <w:spacing w:line="240" w:lineRule="auto"/>
        <w:ind w:left="720"/>
      </w:pPr>
      <w:r/>
      <w:hyperlink r:id="rId9">
        <w:r>
          <w:rPr>
            <w:color w:val="0000EE"/>
            <w:u w:val="single"/>
          </w:rPr>
          <w:t>[2]</w:t>
        </w:r>
      </w:hyperlink>
      <w:r>
        <w:t xml:space="preserve"> (Maeil Business Newspaper / mk.co.kr) - Paragraph 1, Paragraph 2, Paragraph 8 </w:t>
      </w:r>
      <w:r/>
    </w:p>
    <w:p>
      <w:pPr>
        <w:pStyle w:val="ListBullet"/>
        <w:spacing w:line="240" w:lineRule="auto"/>
        <w:ind w:left="720"/>
      </w:pPr>
      <w:r/>
      <w:hyperlink r:id="rId10">
        <w:r>
          <w:rPr>
            <w:color w:val="0000EE"/>
            <w:u w:val="single"/>
          </w:rPr>
          <w:t>[3]</w:t>
        </w:r>
      </w:hyperlink>
      <w:r>
        <w:t xml:space="preserve"> (Asiae) - Paragraph 3, Paragraph 8 </w:t>
      </w:r>
      <w:r/>
    </w:p>
    <w:p>
      <w:pPr>
        <w:pStyle w:val="ListBullet"/>
        <w:spacing w:line="240" w:lineRule="auto"/>
        <w:ind w:left="720"/>
      </w:pPr>
      <w:r/>
      <w:hyperlink r:id="rId11">
        <w:r>
          <w:rPr>
            <w:color w:val="0000EE"/>
            <w:u w:val="single"/>
          </w:rPr>
          <w:t>[4]</w:t>
        </w:r>
      </w:hyperlink>
      <w:r>
        <w:t xml:space="preserve"> (Asiae) - Paragraph 3 </w:t>
      </w:r>
      <w:r/>
    </w:p>
    <w:p>
      <w:pPr>
        <w:pStyle w:val="ListBullet"/>
        <w:spacing w:line="240" w:lineRule="auto"/>
        <w:ind w:left="720"/>
      </w:pPr>
      <w:r/>
      <w:hyperlink r:id="rId12">
        <w:r>
          <w:rPr>
            <w:color w:val="0000EE"/>
            <w:u w:val="single"/>
          </w:rPr>
          <w:t>[5]</w:t>
        </w:r>
      </w:hyperlink>
      <w:r>
        <w:t xml:space="preserve"> (Asiae) - Paragraph 4 </w:t>
      </w:r>
      <w:r/>
    </w:p>
    <w:p>
      <w:pPr>
        <w:pStyle w:val="ListBullet"/>
        <w:spacing w:line="240" w:lineRule="auto"/>
        <w:ind w:left="720"/>
      </w:pPr>
      <w:r/>
      <w:hyperlink r:id="rId13">
        <w:r>
          <w:rPr>
            <w:color w:val="0000EE"/>
            <w:u w:val="single"/>
          </w:rPr>
          <w:t>[6]</w:t>
        </w:r>
      </w:hyperlink>
      <w:r>
        <w:t xml:space="preserve"> (Asiae) - Paragraph 4, Paragraph 7 </w:t>
      </w:r>
      <w:r/>
    </w:p>
    <w:p>
      <w:pPr>
        <w:pStyle w:val="ListBullet"/>
        <w:spacing w:line="240" w:lineRule="auto"/>
        <w:ind w:left="720"/>
      </w:pPr>
      <w:r/>
      <w:hyperlink r:id="rId14">
        <w:r>
          <w:rPr>
            <w:color w:val="0000EE"/>
            <w:u w:val="single"/>
          </w:rPr>
          <w:t>[7]</w:t>
        </w:r>
      </w:hyperlink>
      <w:r>
        <w:t xml:space="preserve"> (Asiae)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https://www.mk.co.kr/en/society/11490837</w:t>
        </w:r>
      </w:hyperlink>
      <w:r>
        <w:t xml:space="preserve"> - Please view link - unable to able to access data</w:t>
      </w:r>
      <w:r/>
    </w:p>
    <w:p>
      <w:pPr>
        <w:pStyle w:val="ListNumber"/>
        <w:spacing w:line="240" w:lineRule="auto"/>
        <w:ind w:left="720"/>
      </w:pPr>
      <w:r/>
      <w:hyperlink r:id="rId9">
        <w:r>
          <w:rPr>
            <w:color w:val="0000EE"/>
            <w:u w:val="single"/>
          </w:rPr>
          <w:t>https://www.mk.co.kr/en/society/11490837</w:t>
        </w:r>
      </w:hyperlink>
      <w:r>
        <w:t xml:space="preserve"> - The Gyeonggi-do Economic and Science Accelerator and the Korea Intelligence Information Society Agency have partnered to enhance AI and digital ethics capabilities, aiming to promote responsible technology use. They signed a memorandum of understanding (MOU) to strengthen ethical standards such as fairness, security, transparency, and accountability, addressing industry demands due to the spread of Generative AI. The collaboration focuses on building an educational foundation linking industry, academia, and public institutions, and developing practical cooperation models for local companies and developers. The initiative aims to foster Pangyo Techno Valley as a centre for AI and digital ethics education, expanding into areas like digital safety, data ethics, and Generative AI utilisation guides. The two organisations plan to develop case-based education, practice-oriented curricula, and expanded corporate participation programmes to address recurring issues in AI usage by industry. They also aim to enhance educational quality and accessibility through joint content development and infrastructure linkage, strengthening cooperation platforms to create a sustainable ethical AI ecosystem.</w:t>
      </w:r>
      <w:r/>
    </w:p>
    <w:p>
      <w:pPr>
        <w:pStyle w:val="ListNumber"/>
        <w:spacing w:line="240" w:lineRule="auto"/>
        <w:ind w:left="720"/>
      </w:pPr>
      <w:r/>
      <w:hyperlink r:id="rId10">
        <w:r>
          <w:rPr>
            <w:color w:val="0000EE"/>
            <w:u w:val="single"/>
          </w:rPr>
          <w:t>https://cm.asiae.co.kr/en/article/2024101116013829520</w:t>
        </w:r>
      </w:hyperlink>
      <w:r>
        <w:t xml:space="preserve"> - Gyeonggi Province and the Gyeonggi Economic Science Promotion Agency held the opening ceremony of the 'Gyeonggi AI Campus' on October 11, 2024, at the Pangyo Gyeonggi Creative Economy Innovation Center. The campus aims to provide a network for AI experts to share technology and collaborate, as well as support startup planning, mentoring, employment, entrepreneurship, and educational programmes. Located in Pangyo, the Gyeonggi AI Campus is a 128-pyeong AI exchange centre, consisting of spaces for group discussions, AI training, and a multipurpose area accommodating about 100 people. The opening ceremony introduced the seven major AI visions of Gyeonggi Province and featured a communication meeting between public-private AI experts and professionals preparing for employment and entrepreneurship.</w:t>
      </w:r>
      <w:r/>
    </w:p>
    <w:p>
      <w:pPr>
        <w:pStyle w:val="ListNumber"/>
        <w:spacing w:line="240" w:lineRule="auto"/>
        <w:ind w:left="720"/>
      </w:pPr>
      <w:r/>
      <w:hyperlink r:id="rId11">
        <w:r>
          <w:rPr>
            <w:color w:val="0000EE"/>
            <w:u w:val="single"/>
          </w:rPr>
          <w:t>https://cm.asiae.co.kr/en/article/2024092308215203671</w:t>
        </w:r>
      </w:hyperlink>
      <w:r>
        <w:t xml:space="preserve"> - Gyeonggi Province plans to establish 'Pangyo AI City' in Pangyo Techno Valley as a hub for AI technology development and industrial promotion. The city will include an 'AI Technology Safe Zone' capable of analysing and utilising sensitive data, such as healthcare data. The province will provide infrastructure and resources necessary for AI technology development, including GPUs and domestically produced AI semiconductors. Support will also be offered to foster AI companies across various industrial sectors by facilitating AI technology verification, AI business model consulting, and creating AI services utilising public infrastructure within the province. Additionally, the province will activate the currently operating Gyeonggi AI Campus to cultivate practical AI professionals by linking AI experts and big tech companies.</w:t>
      </w:r>
      <w:r/>
    </w:p>
    <w:p>
      <w:pPr>
        <w:pStyle w:val="ListNumber"/>
        <w:spacing w:line="240" w:lineRule="auto"/>
        <w:ind w:left="720"/>
      </w:pPr>
      <w:r/>
      <w:hyperlink r:id="rId12">
        <w:r>
          <w:rPr>
            <w:color w:val="0000EE"/>
            <w:u w:val="single"/>
          </w:rPr>
          <w:t>https://cm.asiae.co.kr/en/article/2025092307115526217</w:t>
        </w:r>
      </w:hyperlink>
      <w:r>
        <w:t xml:space="preserve"> - Gyeonggi Province and the Gyeonggi Business &amp; Science Accelerator have announced plans to establish six AI clusters within the province and began recruiting tenant companies on September 22, 2025. The AI innovation clusters will be located in six regions: Pangyo (the hub), Seongnam General Industrial Complex, and the local demand-driven areas of Bucheon, Siheung, Hanam, and Uijeongbu. Tenant companies will receive tailored support, including smart office-based hybrid workspaces, AI proof-of-concept support, networking opportunities among companies, and professional consulting. The 'Physical AI Lab' is scheduled to open in the Seongnam industrial complex in November, with the entire cluster expected to be completed by February next year. A total of 32 companies will be selected across the six locations, with applications open from September 22 to October 21.</w:t>
      </w:r>
      <w:r/>
    </w:p>
    <w:p>
      <w:pPr>
        <w:pStyle w:val="ListNumber"/>
        <w:spacing w:line="240" w:lineRule="auto"/>
        <w:ind w:left="720"/>
      </w:pPr>
      <w:r/>
      <w:hyperlink r:id="rId13">
        <w:r>
          <w:rPr>
            <w:color w:val="0000EE"/>
            <w:u w:val="single"/>
          </w:rPr>
          <w:t>https://cm.asiae.co.kr/en/article/2025042308224245021</w:t>
        </w:r>
      </w:hyperlink>
      <w:r>
        <w:t xml:space="preserve"> - Gyeonggi Province plans to invest 100 billion KRW in nine major AI strategic projects this year to build a global AI ecosystem. The province aims to strengthen collaboration between AI companies and global universities and research institutes, providing support in the form of high-performance computing resources such as GPUs. Development servers based on domestic AI semiconductors will also be provided to foster local AI semiconductor companies. The province will promote the creation of industrial and research complexes by linking private investment and building large-scale infrastructure. Four Gyeonggi AI Innovation Clusters will be established in locations such as Pangyo and Seongnam, and two AI hub clusters will be set up in the southern and northern regions. Additionally, the 'AI+X Academy' will be operated to support AI adoption and utilisation training for companies and startups.</w:t>
      </w:r>
      <w:r/>
    </w:p>
    <w:p>
      <w:pPr>
        <w:pStyle w:val="ListNumber"/>
        <w:spacing w:line="240" w:lineRule="auto"/>
        <w:ind w:left="720"/>
      </w:pPr>
      <w:r/>
      <w:hyperlink r:id="rId14">
        <w:r>
          <w:rPr>
            <w:color w:val="0000EE"/>
            <w:u w:val="single"/>
          </w:rPr>
          <w:t>https://cm.asiae.co.kr/en/article/2024112620532889340</w:t>
        </w:r>
      </w:hyperlink>
      <w:r>
        <w:t xml:space="preserve"> - The 'AI Safety Research Institute' has opened in Pangyo, Gyeonggi Province, to respond to risks arising from artificial intelligence (AI) technology and serve as a hub for global information exchange and joint research. The institute is a specialised organisation established to systematically address various risks from AI's technical limitations, misuse, and loss of control. It collaborates with industry, academia, and research institutions and is a member of the 'International AI Safety Research Institute Network,' which includes 10 countries, playing a responsible role in global solidarity.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society/11490837" TargetMode="External"/><Relationship Id="rId10" Type="http://schemas.openxmlformats.org/officeDocument/2006/relationships/hyperlink" Target="https://cm.asiae.co.kr/en/article/2024101116013829520" TargetMode="External"/><Relationship Id="rId11" Type="http://schemas.openxmlformats.org/officeDocument/2006/relationships/hyperlink" Target="https://cm.asiae.co.kr/en/article/2024092308215203671" TargetMode="External"/><Relationship Id="rId12" Type="http://schemas.openxmlformats.org/officeDocument/2006/relationships/hyperlink" Target="https://cm.asiae.co.kr/en/article/2025092307115526217" TargetMode="External"/><Relationship Id="rId13" Type="http://schemas.openxmlformats.org/officeDocument/2006/relationships/hyperlink" Target="https://cm.asiae.co.kr/en/article/2025042308224245021" TargetMode="External"/><Relationship Id="rId14" Type="http://schemas.openxmlformats.org/officeDocument/2006/relationships/hyperlink" Target="https://cm.asiae.co.kr/en/article/202411262053288934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