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proposes mandatory AI copyright royalties amid industry pushback</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India is moving towards a far-reaching copyright regime that would force artificial‑intelligence developers to pay royalties for training models on copyrighted works, under a government‑endorsed “One Nation, One Licence, One Payment” blanket‑licence model. The proposal, set out in a working paper from the Department for Promotion of Industry and Internal Trade (DPIIT), would create a centralised mechanism to collect and distribute payments to creators and require AI firms to rely only on lawfully accessed material while filing detailed summaries of training datasets. </w:t>
      </w:r>
      <w:hyperlink r:id="rId9">
        <w:r>
          <w:rPr>
            <w:color w:val="0000EE"/>
            <w:u w:val="single"/>
          </w:rPr>
          <w:t>[1]</w:t>
        </w:r>
      </w:hyperlink>
      <w:hyperlink r:id="rId10">
        <w:r>
          <w:rPr>
            <w:color w:val="0000EE"/>
            <w:u w:val="single"/>
          </w:rPr>
          <w:t>[5]</w:t>
        </w:r>
      </w:hyperlink>
      <w:hyperlink r:id="rId11">
        <w:r>
          <w:rPr>
            <w:color w:val="0000EE"/>
            <w:u w:val="single"/>
          </w:rPr>
          <w:t>[6]</w:t>
        </w:r>
      </w:hyperlink>
      <w:r/>
    </w:p>
    <w:p>
      <w:r/>
      <w:r>
        <w:t xml:space="preserve">Under the plan, a new body , provisionally named the Copyright Royalties Collective for AI Training (CRCAT) , would administer the licence, collect fees from developers and allocate royalties to rights‑holders across sectors including publishing, music, film, journalism and visual arts. The CRCAT is envisaged as a government‑designated, non‑profit umbrella organisation formed by copyright societies and collective management organisations. </w:t>
      </w:r>
      <w:hyperlink r:id="rId9">
        <w:r>
          <w:rPr>
            <w:color w:val="0000EE"/>
            <w:u w:val="single"/>
          </w:rPr>
          <w:t>[1]</w:t>
        </w:r>
      </w:hyperlink>
      <w:hyperlink r:id="rId12">
        <w:r>
          <w:rPr>
            <w:color w:val="0000EE"/>
            <w:u w:val="single"/>
          </w:rPr>
          <w:t>[4]</w:t>
        </w:r>
      </w:hyperlink>
      <w:hyperlink r:id="rId10">
        <w:r>
          <w:rPr>
            <w:color w:val="0000EE"/>
            <w:u w:val="single"/>
          </w:rPr>
          <w:t>[5]</w:t>
        </w:r>
      </w:hyperlink>
      <w:hyperlink r:id="rId11">
        <w:r>
          <w:rPr>
            <w:color w:val="0000EE"/>
            <w:u w:val="single"/>
          </w:rPr>
          <w:t>[6]</w:t>
        </w:r>
      </w:hyperlink>
      <w:r/>
    </w:p>
    <w:p>
      <w:r/>
      <w:r>
        <w:t xml:space="preserve">The working paper favours flat, revenue‑linked percentage fees tied to global earnings of commercial AI systems, rather than use‑based or per‑work micro‑payments. Those rates would be set by a government‑appointed committee, reviewed roughly every three years and subject to judicial challenge, according to the proposal. DPIIT officials have said the fee calculation would look at global revenue, not solely Indian turnover, broadening the financial impact on multinationals. </w:t>
      </w:r>
      <w:hyperlink r:id="rId9">
        <w:r>
          <w:rPr>
            <w:color w:val="0000EE"/>
            <w:u w:val="single"/>
          </w:rPr>
          <w:t>[1]</w:t>
        </w:r>
      </w:hyperlink>
      <w:hyperlink r:id="rId13">
        <w:r>
          <w:rPr>
            <w:color w:val="0000EE"/>
            <w:u w:val="single"/>
          </w:rPr>
          <w:t>[7]</w:t>
        </w:r>
      </w:hyperlink>
      <w:hyperlink r:id="rId10">
        <w:r>
          <w:rPr>
            <w:color w:val="0000EE"/>
            <w:u w:val="single"/>
          </w:rPr>
          <w:t>[5]</w:t>
        </w:r>
      </w:hyperlink>
      <w:r/>
    </w:p>
    <w:p>
      <w:r/>
      <w:r>
        <w:t xml:space="preserve">Crucially, the proposal would apply retroactively to developers that have already trained profitable models on copyright‑protected material , a measure framed by policymakers as corrective for the creative ecosystem but one that would raise complex legal and compliance questions for firms that have relied on prevailing fair‑use or opt‑out approaches elsewhere. </w:t>
      </w:r>
      <w:hyperlink r:id="rId9">
        <w:r>
          <w:rPr>
            <w:color w:val="0000EE"/>
            <w:u w:val="single"/>
          </w:rPr>
          <w:t>[1]</w:t>
        </w:r>
      </w:hyperlink>
      <w:hyperlink r:id="rId14">
        <w:r>
          <w:rPr>
            <w:color w:val="0000EE"/>
            <w:u w:val="single"/>
          </w:rPr>
          <w:t>[2]</w:t>
        </w:r>
      </w:hyperlink>
      <w:r/>
    </w:p>
    <w:p>
      <w:r/>
      <w:r>
        <w:t xml:space="preserve">Proponents within government argue the blanket‑licence avoids the transaction costs, bargaining asymmetries and fragmentation of voluntary bilateral deals, ensuring dependable access for developers while guaranteeing statutory remuneration for creators. The working paper explicitly rejects voluntary, piecemeal licensing as insufficient to protect smaller creators and to provide reliable data access for AI developers. </w:t>
      </w:r>
      <w:hyperlink r:id="rId15">
        <w:r>
          <w:rPr>
            <w:color w:val="0000EE"/>
            <w:u w:val="single"/>
          </w:rPr>
          <w:t>[3]</w:t>
        </w:r>
      </w:hyperlink>
      <w:hyperlink r:id="rId10">
        <w:r>
          <w:rPr>
            <w:color w:val="0000EE"/>
            <w:u w:val="single"/>
          </w:rPr>
          <w:t>[5]</w:t>
        </w:r>
      </w:hyperlink>
      <w:r/>
    </w:p>
    <w:p>
      <w:r/>
      <w:r>
        <w:t xml:space="preserve">Industry groups and some rights holders have pushed back. Trade association Nasscom and the Motion Picture Association have warned the model could act as a tax on innovation and stifle investment, arguing that mandatory levies and centralised rate‑setting risk chilling effects on AI development. Other stakeholders favour licensing frameworks that preserve negotiation flexibility, and some large publishers have already pursued individual licences with developers. The government has opened a 30‑day window for public and industry comments before the proposal proceeds to final review. </w:t>
      </w:r>
      <w:hyperlink r:id="rId14">
        <w:r>
          <w:rPr>
            <w:color w:val="0000EE"/>
            <w:u w:val="single"/>
          </w:rPr>
          <w:t>[2]</w:t>
        </w:r>
      </w:hyperlink>
      <w:hyperlink r:id="rId15">
        <w:r>
          <w:rPr>
            <w:color w:val="0000EE"/>
            <w:u w:val="single"/>
          </w:rPr>
          <w:t>[3]</w:t>
        </w:r>
      </w:hyperlink>
      <w:r/>
    </w:p>
    <w:p>
      <w:r/>
      <w:r>
        <w:t xml:space="preserve">The Indian proposal diverges from international approaches: it contrasts with the United States’ general acceptance of training on publicly available data under “fair use” doctrines and departs from the EU’s more nuanced opt‑out and rights‑management efforts. Japan has taken an even more permissive position. India’s model reflects a broader assertion of national control over data‑related rights and a willingness to impose statutory solutions to balance creative remuneration and technological development. </w:t>
      </w:r>
      <w:hyperlink r:id="rId14">
        <w:r>
          <w:rPr>
            <w:color w:val="0000EE"/>
            <w:u w:val="single"/>
          </w:rPr>
          <w:t>[2]</w:t>
        </w:r>
      </w:hyperlink>
      <w:hyperlink r:id="rId11">
        <w:r>
          <w:rPr>
            <w:color w:val="0000EE"/>
            <w:u w:val="single"/>
          </w:rPr>
          <w:t>[6]</w:t>
        </w:r>
      </w:hyperlink>
      <w:r/>
    </w:p>
    <w:p>
      <w:r/>
      <w:r>
        <w:t xml:space="preserve">Implementing the scheme would pose practical challenges: setting administratively fair rates, auditing compliance, tracking the provenance and use of training data, and allocating distributions equitably across millions of works and diverse creator classes. The plan proposes dataset reporting requirements from developers to aid monitoring, but industry lawyers predict litigation over retroactivity, scope and constitutional issues is likely if the framework becomes law. </w:t>
      </w:r>
      <w:hyperlink r:id="rId9">
        <w:r>
          <w:rPr>
            <w:color w:val="0000EE"/>
            <w:u w:val="single"/>
          </w:rPr>
          <w:t>[1]</w:t>
        </w:r>
      </w:hyperlink>
      <w:hyperlink r:id="rId10">
        <w:r>
          <w:rPr>
            <w:color w:val="0000EE"/>
            <w:u w:val="single"/>
          </w:rPr>
          <w:t>[5]</w:t>
        </w:r>
      </w:hyperlink>
      <w:hyperlink r:id="rId11">
        <w:r>
          <w:rPr>
            <w:color w:val="0000EE"/>
            <w:u w:val="single"/>
          </w:rPr>
          <w:t>[6]</w:t>
        </w:r>
      </w:hyperlink>
      <w:r/>
    </w:p>
    <w:p>
      <w:r/>
      <w:r>
        <w:t xml:space="preserve">As the consultation period closes and the government considers submissions, the debate crystallises around competing objectives , ensuring creators are paid for commercial reuse of their work, versus preserving a regulatory environment conducive to innovation and investment in AI. How policymakers reconcile those aims will determine whether India’s model becomes a template for others or a contested outlier in global AI governance. </w:t>
      </w:r>
      <w:hyperlink r:id="rId14">
        <w:r>
          <w:rPr>
            <w:color w:val="0000EE"/>
            <w:u w:val="single"/>
          </w:rPr>
          <w:t>[2]</w:t>
        </w:r>
      </w:hyperlink>
      <w:hyperlink r:id="rId15">
        <w:r>
          <w:rPr>
            <w:color w:val="0000EE"/>
            <w:u w:val="single"/>
          </w:rPr>
          <w:t>[3]</w:t>
        </w:r>
      </w:hyperlink>
      <w:hyperlink r:id="rId10">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(dig.watch) - Paragraph 1, Paragraph 2, Paragraph 3, Paragraph 4, Paragraph 8, Paragraph 9 </w:t>
      </w:r>
      <w:r/>
    </w:p>
    <w:p>
      <w:pPr>
        <w:pStyle w:val="ListBullet"/>
        <w:spacing w:line="240" w:lineRule="auto"/>
        <w:ind w:left="720"/>
      </w:pPr>
      <w:r/>
      <w:hyperlink r:id="rId10">
        <w:r>
          <w:rPr>
            <w:color w:val="0000EE"/>
            <w:u w:val="single"/>
          </w:rPr>
          <w:t>[5]</w:t>
        </w:r>
      </w:hyperlink>
      <w:r>
        <w:t xml:space="preserve"> (New Indian Express) - Paragraph 1, Paragraph 2, Paragraph 3, Paragraph 5, Paragraph 8, Paragraph 9 </w:t>
      </w:r>
      <w:r/>
    </w:p>
    <w:p>
      <w:pPr>
        <w:pStyle w:val="ListBullet"/>
        <w:spacing w:line="240" w:lineRule="auto"/>
        <w:ind w:left="720"/>
      </w:pPr>
      <w:r/>
      <w:hyperlink r:id="rId11">
        <w:r>
          <w:rPr>
            <w:color w:val="0000EE"/>
            <w:u w:val="single"/>
          </w:rPr>
          <w:t>[6]</w:t>
        </w:r>
      </w:hyperlink>
      <w:r>
        <w:t xml:space="preserve"> (The Tech Portal) - Paragraph 2, Paragraph 7, Paragraph 8 </w:t>
      </w:r>
      <w:r/>
    </w:p>
    <w:p>
      <w:pPr>
        <w:pStyle w:val="ListBullet"/>
        <w:spacing w:line="240" w:lineRule="auto"/>
        <w:ind w:left="720"/>
      </w:pPr>
      <w:r/>
      <w:hyperlink r:id="rId14">
        <w:r>
          <w:rPr>
            <w:color w:val="0000EE"/>
            <w:u w:val="single"/>
          </w:rPr>
          <w:t>[2]</w:t>
        </w:r>
      </w:hyperlink>
      <w:r>
        <w:t xml:space="preserve"> (Reuters) - Paragraph 4, Paragraph 6, Paragraph 7, Paragraph 9 </w:t>
      </w:r>
      <w:r/>
    </w:p>
    <w:p>
      <w:pPr>
        <w:pStyle w:val="ListBullet"/>
        <w:spacing w:line="240" w:lineRule="auto"/>
        <w:ind w:left="720"/>
      </w:pPr>
      <w:r/>
      <w:hyperlink r:id="rId15">
        <w:r>
          <w:rPr>
            <w:color w:val="0000EE"/>
            <w:u w:val="single"/>
          </w:rPr>
          <w:t>[3]</w:t>
        </w:r>
      </w:hyperlink>
      <w:r>
        <w:t xml:space="preserve"> (Indian Express) - Paragraph 5, Paragraph 6, Paragraph 9 </w:t>
      </w:r>
      <w:r/>
    </w:p>
    <w:p>
      <w:pPr>
        <w:pStyle w:val="ListBullet"/>
        <w:spacing w:line="240" w:lineRule="auto"/>
        <w:ind w:left="720"/>
      </w:pPr>
      <w:r/>
      <w:hyperlink r:id="rId12">
        <w:r>
          <w:rPr>
            <w:color w:val="0000EE"/>
            <w:u w:val="single"/>
          </w:rPr>
          <w:t>[4]</w:t>
        </w:r>
      </w:hyperlink>
      <w:r>
        <w:t xml:space="preserve"> (Times of India)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https://dig.watch/updates/india-moves-toward-mandatory-ai-royalty-regime</w:t>
        </w:r>
      </w:hyperlink>
      <w:r>
        <w:t xml:space="preserve"> - Please view link - unable to able to access data</w:t>
      </w:r>
      <w:r/>
    </w:p>
    <w:p>
      <w:pPr>
        <w:pStyle w:val="ListNumber"/>
        <w:spacing w:line="240" w:lineRule="auto"/>
        <w:ind w:left="720"/>
      </w:pPr>
      <w:r/>
      <w:hyperlink r:id="rId14">
        <w:r>
          <w:rPr>
            <w:color w:val="0000EE"/>
            <w:u w:val="single"/>
          </w:rPr>
          <w:t>https://www.reuters.com/sustainability/boards-policy-regulation/indian-ai-royalty-proposal-targets-data-practices-openai-google-2025-12-09/</w:t>
        </w:r>
      </w:hyperlink>
      <w:r>
        <w:t xml:space="preserve"> - An Indian government panel has proposed a regulation requiring AI companies to pay royalties for using copyrighted local content in training AI models, impacting firms such as OpenAI and Google. This measure diverges from U.S. policies, where the use of public data for AI training is considered 'fair use,' and differs from Japan’s lenient and the EU’s stricter opt-out approaches. The Indian proposal recommends collecting these royalties into a central pool managed by a body representing rights holders, arguing that the opt-out model is ineffective and burdens creators. Stakeholders, including industry group Nasscom and the Motion Picture Association, opposed the plan, viewing it as a tax on innovation and favouring licensing frameworks. The public and industry have 30 days to contest the proposal before final government review. This move reflects India’s growing assertion over data rights amid global debates on AI and copyright.</w:t>
      </w:r>
      <w:r/>
    </w:p>
    <w:p>
      <w:pPr>
        <w:pStyle w:val="ListNumber"/>
        <w:spacing w:line="240" w:lineRule="auto"/>
        <w:ind w:left="720"/>
      </w:pPr>
      <w:r/>
      <w:hyperlink r:id="rId15">
        <w:r>
          <w:rPr>
            <w:color w:val="0000EE"/>
            <w:u w:val="single"/>
          </w:rPr>
          <w:t>https://indianexpress.com/article/business/india-recommends-ai-firms-to-pay-creator-royalties-at-govt-panel-set-rates-10410785/lite/</w:t>
        </w:r>
      </w:hyperlink>
      <w:r>
        <w:t xml:space="preserve"> - The government has proposed a 'One Nation, One Licence, One Payment' mandatory blanket licence for AI training, forcing companies to pay royalties to creators. Royalty rates would be fixed by a government-appointed committee and collected through a single collective body formed by copyright holders. The paper rejects voluntary licensing – deals between AI developers and individual companies, such as OpenAI’s content licensing deal with the Associated Press – saying it would lead to high transaction costs, long negotiations and unequal bargaining power that disadvantage small creators and startups, and would fail to offer broad, dependable access to training data.</w:t>
      </w:r>
      <w:r/>
    </w:p>
    <w:p>
      <w:pPr>
        <w:pStyle w:val="ListNumber"/>
        <w:spacing w:line="240" w:lineRule="auto"/>
        <w:ind w:left="720"/>
      </w:pPr>
      <w:r/>
      <w:hyperlink r:id="rId12">
        <w:r>
          <w:rPr>
            <w:color w:val="0000EE"/>
            <w:u w:val="single"/>
          </w:rPr>
          <w:t>https://timesofindia.indiatimes.com/business/india-business/plan-to-make-ai-developers-pay-for-content/articleshow/125877965.cms</w:t>
        </w:r>
      </w:hyperlink>
      <w:r>
        <w:t xml:space="preserve"> - A government panel has proposed a 'hybrid model' for AI firms, granting them a blanket license to use copyrighted works for training AI systems. This framework mandates royalty payments to intellectual property rights holders, who cannot opt out. A centralized, non-profit entity will manage these payments, simplifying access for developers and ensuring fair compensation for creators. Under this framework, right holders will not have the option to withhold their works for use in the training of AI systems. The report has suggested a centralised non-profit entity designated by the government be made responsible for collecting payments from AI developers, with copyright societies and collective management organisations as members.</w:t>
      </w:r>
      <w:r/>
    </w:p>
    <w:p>
      <w:pPr>
        <w:pStyle w:val="ListNumber"/>
        <w:spacing w:line="240" w:lineRule="auto"/>
        <w:ind w:left="720"/>
      </w:pPr>
      <w:r/>
      <w:hyperlink r:id="rId10">
        <w:r>
          <w:rPr>
            <w:color w:val="0000EE"/>
            <w:u w:val="single"/>
          </w:rPr>
          <w:t>https://www.newindianexpress.com/business/2025/Dec/09/govt-pushes-bold-ai-reform-blanket-licence-plan-to-unlock-copyrighted-data-for-training-2550190.html</w:t>
        </w:r>
      </w:hyperlink>
      <w:r>
        <w:t xml:space="preserve"> - The Department for Promotion of Industries and Internal Trade (PIIT) has released a working paper proposing a sweeping new framework for how artificial-intelligence (AI) developers in India may use copyrighted material to train their models. Under the proposal, AI firms would be required to obtain a mandatory blanket licence for any 'lawfully accessed' copyright-protected content they incorporate into their training datasets. Instead of negotiating individual deals with every copyright holder — whether musicians, authors, journalists, or artists — the blanket licence would enable developers to access the full range of legally acquired works with a single licence. To protect the rights of creators, the framework calls for a statutory remuneration mechanism. Copyright holders would be eligible to receive royalties when their work is used for AI training. These payments would be collected and distributed by a new centralised, non-profit body — formed by rights-holders and designated by the government — intended to serve as an umbrella organisation for licensing and royalty distribution. Royalty rates would be set by a government-appointed committee and remain subject to judicial review. This 'one licence, one payment' model would also relieve AI developers — especially start-ups and smaller players — of the burden of negotiating multiple individual licences, thereby lowering compliance costs and legal uncertainty.</w:t>
      </w:r>
      <w:r/>
    </w:p>
    <w:p>
      <w:pPr>
        <w:pStyle w:val="ListNumber"/>
        <w:spacing w:line="240" w:lineRule="auto"/>
        <w:ind w:left="720"/>
      </w:pPr>
      <w:r/>
      <w:hyperlink r:id="rId11">
        <w:r>
          <w:rPr>
            <w:color w:val="0000EE"/>
            <w:u w:val="single"/>
          </w:rPr>
          <w:t>https://thetechportal.com/2025/12/10/india-proposes-royalty-framework-for-ai-companies-using-copyrighted-works/</w:t>
        </w:r>
      </w:hyperlink>
      <w:r>
        <w:t xml:space="preserve"> - Under the envisioned system, companies training AI in the country would no longer negotiate private deals with individual creators and publishers. Instead, they would operate under a single national licence that gives them access to copyrighted content – but makes royalty payments mandatory. This is clearly different from the ‘opt-out’ approach common in the US and parts of Europe, where creators must actively request that their work be excluded from AI training datasets rather than receiving any guaranteed compensation. The government proposes creating a centralized authority to manage the system, tentatively described as the Copyright Royalties Collective for AI Training (CRCAT). This body would be responsible for collecting payments from AI companies, tracking usage, and distributing funds to creators across sectors – including authors, journalists, filmmakers, composers, digital artists and others. The royalty rates themselves would be decided by a dedicated committee, with revisions expected periodically to reflect market dynamics.</w:t>
      </w:r>
      <w:r/>
    </w:p>
    <w:p>
      <w:pPr>
        <w:pStyle w:val="ListNumber"/>
        <w:spacing w:line="240" w:lineRule="auto"/>
        <w:ind w:left="720"/>
      </w:pPr>
      <w:r/>
      <w:hyperlink r:id="rId13">
        <w:r>
          <w:rPr>
            <w:color w:val="0000EE"/>
            <w:u w:val="single"/>
          </w:rPr>
          <w:t>https://indianexpress.com/article/business/ai-firms-pay-global-revenue-royalty-content-indian-creators-dpiit-10415416/lite/</w:t>
        </w:r>
      </w:hyperlink>
      <w:r>
        <w:t xml:space="preserve"> - The government’s recommendation to make AI firms pay a portion of their earnings towards royalties to content creators — whose data the developers use to train AI models— will be linked to their global revenue, and not to what they earn in India, a senior official from the Department for Promotion of Industry and Internal Trade (DPIIT), said Thursday. Earlier this week, a committee set up by the DPIIT released its working paper titled ‘One Nation, One License, One Payment: Balancing AI Innovation and Copyright’, which made sweeping recommendations for a new framework for AI training, including a mandatory blanket license requiring all AI companies to pay royalties for using copyrighted work to creators. It has also recommended the creation of a government-appointed panel to decide the royalty fee.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watch/updates/india-moves-toward-mandatory-ai-royalty-regime" TargetMode="External"/><Relationship Id="rId10" Type="http://schemas.openxmlformats.org/officeDocument/2006/relationships/hyperlink" Target="https://www.newindianexpress.com/business/2025/Dec/09/govt-pushes-bold-ai-reform-blanket-licence-plan-to-unlock-copyrighted-data-for-training-2550190.html" TargetMode="External"/><Relationship Id="rId11" Type="http://schemas.openxmlformats.org/officeDocument/2006/relationships/hyperlink" Target="https://thetechportal.com/2025/12/10/india-proposes-royalty-framework-for-ai-companies-using-copyrighted-works/" TargetMode="External"/><Relationship Id="rId12" Type="http://schemas.openxmlformats.org/officeDocument/2006/relationships/hyperlink" Target="https://timesofindia.indiatimes.com/business/india-business/plan-to-make-ai-developers-pay-for-content/articleshow/125877965.cms" TargetMode="External"/><Relationship Id="rId13" Type="http://schemas.openxmlformats.org/officeDocument/2006/relationships/hyperlink" Target="https://indianexpress.com/article/business/ai-firms-pay-global-revenue-royalty-content-indian-creators-dpiit-10415416/lite/" TargetMode="External"/><Relationship Id="rId14" Type="http://schemas.openxmlformats.org/officeDocument/2006/relationships/hyperlink" Target="https://www.reuters.com/sustainability/boards-policy-regulation/indian-ai-royalty-proposal-targets-data-practices-openai-google-2025-12-09/" TargetMode="External"/><Relationship Id="rId15" Type="http://schemas.openxmlformats.org/officeDocument/2006/relationships/hyperlink" Target="https://indianexpress.com/article/business/india-recommends-ai-firms-to-pay-creator-royalties-at-govt-panel-set-rates-10410785/li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