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services confront the challenge of balancing AI innovation with governance and ethics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AI on the Frontline conference in Cambridge brought into sharp relief a central tension facing public services: the promise of productivity gains from artificial intelligence is inseparable from the need for rigorous governance, ethical oversight and practical safeguards. According to the original report from the University of Cambridge’s Smart Infrastructure Lab, practitioners, policymakers and researchers convened on 19 November 2025 to examine how local and national public-sector organisations can adopt AI while protecting accountability, transparency and public trust. </w:t>
      </w:r>
      <w:hyperlink r:id="rId9">
        <w:r>
          <w:rPr>
            <w:color w:val="0000EE"/>
            <w:u w:val="single"/>
          </w:rPr>
          <w:t>[1]</w:t>
        </w:r>
      </w:hyperlink>
      <w:r/>
    </w:p>
    <w:p>
      <w:r/>
      <w:r>
        <w:t xml:space="preserve">Speakers and participants emphasised that technical deployment must be matched by actionable governance frameworks capable of keeping pace with rapid technological change. Presentations at the event considered how AI ethics translates into duties and operational processes within English local government, and how communities interpret AI in everyday settings , issues that organisers said require sustained planning, clear guidance and organisational capacity for monitoring and learning. The conference included a practical workshop on social care meant to surface real-world challenges of responsible AI use. </w:t>
      </w:r>
      <w:hyperlink r:id="rId9">
        <w:r>
          <w:rPr>
            <w:color w:val="0000EE"/>
            <w:u w:val="single"/>
          </w:rPr>
          <w:t>[1]</w:t>
        </w:r>
      </w:hyperlink>
      <w:r/>
    </w:p>
    <w:p>
      <w:r/>
      <w:r>
        <w:t xml:space="preserve">The Cambridge discussion sits alongside a broader national conversation about AI in public services. Industry and sector events earlier in 2025 have likewise focused on governance and cyber resilience: the ISfL Annual Conference on 6 March addressed the intersection of AI, governance and cybersecurity in local government, underlining the need for best practice and compliance to safeguard public trust. These complementary forums reinforce that cybersecurity and governance must be considered together when public bodies adopt automated systems. </w:t>
      </w:r>
      <w:hyperlink r:id="rId10">
        <w:r>
          <w:rPr>
            <w:color w:val="0000EE"/>
            <w:u w:val="single"/>
          </w:rPr>
          <w:t>[2]</w:t>
        </w:r>
      </w:hyperlink>
      <w:r/>
    </w:p>
    <w:p>
      <w:r/>
      <w:r>
        <w:t xml:space="preserve">Trade unions and civil-society voices have stressed different but overlapping concerns. UNISON’s 2025 National Delegate Conference highlighted potential harms from rapid AI deployment , work intensification, health and safety risks, discriminatory outcomes and privacy loss , and called for interventions to preserve public control over vital infrastructure and sensitive data. That motion illustrates how workforce and citizen-protection priorities are shaping demands for stronger oversight. </w:t>
      </w:r>
      <w:hyperlink r:id="rId11">
        <w:r>
          <w:rPr>
            <w:color w:val="0000EE"/>
            <w:u w:val="single"/>
          </w:rPr>
          <w:t>[3]</w:t>
        </w:r>
      </w:hyperlink>
      <w:r/>
    </w:p>
    <w:p>
      <w:r/>
      <w:r>
        <w:t xml:space="preserve">Academic and policy research adds further depth to the picture, offering comparative and conceptual tools for policymakers. A cross-regional study published in March 2025 analysed AI risk-management approaches across the EU, US, UK and China, arguing for regulation that balances risk mitigation with continued innovation. A separate paper proposed integrating “moral imagination” with technical governance to create interdisciplinary frameworks for high-stakes domains such as healthcare and finance. Together, these studies suggest regulators should combine adaptive standards, transparent assessment procedures and ethical reflection when designing oversight regimes. </w:t>
      </w:r>
      <w:hyperlink r:id="rId12">
        <w:r>
          <w:rPr>
            <w:color w:val="0000EE"/>
            <w:u w:val="single"/>
          </w:rPr>
          <w:t>[6]</w:t>
        </w:r>
      </w:hyperlink>
      <w:hyperlink r:id="rId13">
        <w:r>
          <w:rPr>
            <w:color w:val="0000EE"/>
            <w:u w:val="single"/>
          </w:rPr>
          <w:t>[7]</w:t>
        </w:r>
      </w:hyperlink>
      <w:r/>
    </w:p>
    <w:p>
      <w:r/>
      <w:r>
        <w:t xml:space="preserve">International forums echo the same message. A high-level session at the WSIS+20 event in 2025 called for governance and assessment mechanisms for mission‑critical AI deployments, warning that failures in such systems can produce grave human‑rights consequences and therefore require robust assessment and management standards. Likewise, academic and policy events in Oxford and elsewhere have drawn attention to the dual role governments play as both users and regulators of AI, raising questions about democratic accountability when public bodies depend on automated systems. </w:t>
      </w:r>
      <w:hyperlink r:id="rId14">
        <w:r>
          <w:rPr>
            <w:color w:val="0000EE"/>
            <w:u w:val="single"/>
          </w:rPr>
          <w:t>[5]</w:t>
        </w:r>
      </w:hyperlink>
      <w:hyperlink r:id="rId15">
        <w:r>
          <w:rPr>
            <w:color w:val="0000EE"/>
            <w:u w:val="single"/>
          </w:rPr>
          <w:t>[4]</w:t>
        </w:r>
      </w:hyperlink>
      <w:r/>
    </w:p>
    <w:p>
      <w:r/>
      <w:r>
        <w:t xml:space="preserve">The conference organisers , Viviana Bastidas, Maya Indira Ganesh, Kristina Khutsishvili, Kwadwo Oti‑Sarpong, Jennifer Schooling and Ruofei Wang , closed by mapping a series of “known unknowns” that will shape next steps: data stewardship, regulatory alignment, ongoing community expectations and the capacity of frontline staff to shape implementations. According to the original report, the shared conclusion was that AI’s long‑term contribution to public services will depend less on short‑term efficiency wins and more on a sustained commitment to ethical practice, transparent governance and continuous learning by those delivering public services. </w:t>
      </w:r>
      <w:hyperlink r:id="rId9">
        <w:r>
          <w:rPr>
            <w:color w:val="0000EE"/>
            <w:u w:val="single"/>
          </w:rPr>
          <w:t>[1]</w:t>
        </w:r>
      </w:hyperlink>
      <w:r/>
    </w:p>
    <w:p>
      <w:r/>
      <w:r>
        <w:t xml:space="preserve">If public-sector AI is to mature responsibly, policymakers will need to combine the practical lessons emerging from local pilots with the policy prescriptions from comparative research, the security best practice highlighted by sector conferences, and the worker and citizen protections demanded by unions. Industry data and academic studies indicate that pairing robust assessment procedures with adaptive governance and clear accountability will be essential for reliable, equitable service delivery. </w:t>
      </w:r>
      <w:hyperlink r:id="rId10">
        <w:r>
          <w:rPr>
            <w:color w:val="0000EE"/>
            <w:u w:val="single"/>
          </w:rPr>
          <w:t>[2]</w:t>
        </w:r>
      </w:hyperlink>
      <w:hyperlink r:id="rId12">
        <w:r>
          <w:rPr>
            <w:color w:val="0000EE"/>
            <w:u w:val="single"/>
          </w:rPr>
          <w:t>[6]</w:t>
        </w:r>
      </w:hyperlink>
      <w:hyperlink r:id="rId13">
        <w:r>
          <w:rPr>
            <w:color w:val="0000EE"/>
            <w:u w:val="single"/>
          </w:rPr>
          <w:t>[7]</w:t>
        </w:r>
      </w:hyperlink>
      <w:hyperlink r:id="rId11">
        <w:r>
          <w:rPr>
            <w:color w:val="0000EE"/>
            <w:u w:val="single"/>
          </w:rPr>
          <w:t>[3]</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(University of Cambridge Smart Infrastructure Lab) - Paragraph 1, Paragraph 2, Paragraph 7 </w:t>
      </w:r>
      <w:r/>
    </w:p>
    <w:p>
      <w:pPr>
        <w:pStyle w:val="ListBullet"/>
        <w:spacing w:line="240" w:lineRule="auto"/>
        <w:ind w:left="720"/>
      </w:pPr>
      <w:r/>
      <w:hyperlink r:id="rId10">
        <w:r>
          <w:rPr>
            <w:color w:val="0000EE"/>
            <w:u w:val="single"/>
          </w:rPr>
          <w:t>[2]</w:t>
        </w:r>
      </w:hyperlink>
      <w:r>
        <w:t xml:space="preserve"> (ISfL Annual Conference) - Paragraph 3, Paragraph 8 </w:t>
      </w:r>
      <w:r/>
    </w:p>
    <w:p>
      <w:pPr>
        <w:pStyle w:val="ListBullet"/>
        <w:spacing w:line="240" w:lineRule="auto"/>
        <w:ind w:left="720"/>
      </w:pPr>
      <w:r/>
      <w:hyperlink r:id="rId11">
        <w:r>
          <w:rPr>
            <w:color w:val="0000EE"/>
            <w:u w:val="single"/>
          </w:rPr>
          <w:t>[3]</w:t>
        </w:r>
      </w:hyperlink>
      <w:r>
        <w:t xml:space="preserve"> (UNISON National Delegate Conference) - Paragraph 4, Paragraph 8 </w:t>
      </w:r>
      <w:r/>
    </w:p>
    <w:p>
      <w:pPr>
        <w:pStyle w:val="ListBullet"/>
        <w:spacing w:line="240" w:lineRule="auto"/>
        <w:ind w:left="720"/>
      </w:pPr>
      <w:r/>
      <w:hyperlink r:id="rId12">
        <w:r>
          <w:rPr>
            <w:color w:val="0000EE"/>
            <w:u w:val="single"/>
          </w:rPr>
          <w:t>[6]</w:t>
        </w:r>
      </w:hyperlink>
      <w:r>
        <w:t xml:space="preserve"> (arXiv: 'Between Innovation and Oversight') - Paragraph 5, Paragraph 8 </w:t>
      </w:r>
      <w:r/>
    </w:p>
    <w:p>
      <w:pPr>
        <w:pStyle w:val="ListBullet"/>
        <w:spacing w:line="240" w:lineRule="auto"/>
        <w:ind w:left="720"/>
      </w:pPr>
      <w:r/>
      <w:hyperlink r:id="rId13">
        <w:r>
          <w:rPr>
            <w:color w:val="0000EE"/>
            <w:u w:val="single"/>
          </w:rPr>
          <w:t>[7]</w:t>
        </w:r>
      </w:hyperlink>
      <w:r>
        <w:t xml:space="preserve"> (arXiv: 'Decoding the Black Box') - Paragraph 5, Paragraph 8 </w:t>
      </w:r>
      <w:r/>
    </w:p>
    <w:p>
      <w:pPr>
        <w:pStyle w:val="ListBullet"/>
        <w:spacing w:line="240" w:lineRule="auto"/>
        <w:ind w:left="720"/>
      </w:pPr>
      <w:r/>
      <w:hyperlink r:id="rId14">
        <w:r>
          <w:rPr>
            <w:color w:val="0000EE"/>
            <w:u w:val="single"/>
          </w:rPr>
          <w:t>[5]</w:t>
        </w:r>
      </w:hyperlink>
      <w:r>
        <w:t xml:space="preserve"> (WSIS+20 High-Level Event) - Paragraph 6, Paragraph 8 </w:t>
      </w:r>
      <w:r/>
    </w:p>
    <w:p>
      <w:pPr>
        <w:pStyle w:val="ListBullet"/>
        <w:spacing w:line="240" w:lineRule="auto"/>
        <w:ind w:left="720"/>
      </w:pPr>
      <w:r/>
      <w:hyperlink r:id="rId15">
        <w:r>
          <w:rPr>
            <w:color w:val="0000EE"/>
            <w:u w:val="single"/>
          </w:rPr>
          <w:t>[4]</w:t>
        </w:r>
      </w:hyperlink>
      <w:r>
        <w:t xml:space="preserve"> (Oxford AI Ethics event)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https://www-smartinfrastructure.eng.cam.ac.uk/news/ai-frontline-conference-2025-offers-opportunity-explore-use-and-deployment-ai-tools-across-uk</w:t>
        </w:r>
      </w:hyperlink>
      <w:r>
        <w:t xml:space="preserve"> - Please view link - unable to able to access data</w:t>
      </w:r>
      <w:r/>
    </w:p>
    <w:p>
      <w:pPr>
        <w:pStyle w:val="ListNumber"/>
        <w:spacing w:line="240" w:lineRule="auto"/>
        <w:ind w:left="720"/>
      </w:pPr>
      <w:r/>
      <w:hyperlink r:id="rId10">
        <w:r>
          <w:rPr>
            <w:color w:val="0000EE"/>
            <w:u w:val="single"/>
          </w:rPr>
          <w:t>https://www.isfl.org.uk/isfl-annual-conference-2025/</w:t>
        </w:r>
      </w:hyperlink>
      <w:r>
        <w:t xml:space="preserve"> - The ISfL Annual Conference 2025, held on 6th March 2025 at the Queen Elizabeth II Centre in London, focused on AI, Governance, and Cybersecurity in the public sector. The event addressed the challenges and opportunities AI presents to cybersecurity in local government and the wider public sector, discussing best practices, compliance, and governance strategies to safeguard public trust. The conference featured a supplier exhibition and was open to all public sector WARP members, with attendance being free.</w:t>
      </w:r>
      <w:r/>
    </w:p>
    <w:p>
      <w:pPr>
        <w:pStyle w:val="ListNumber"/>
        <w:spacing w:line="240" w:lineRule="auto"/>
        <w:ind w:left="720"/>
      </w:pPr>
      <w:r/>
      <w:hyperlink r:id="rId11">
        <w:r>
          <w:rPr>
            <w:color w:val="0000EE"/>
            <w:u w:val="single"/>
          </w:rPr>
          <w:t>https://www.unison.org.uk/motions/2025/national-delegate-conference/artificial-intelligence-in-public-services/</w:t>
        </w:r>
      </w:hyperlink>
      <w:r>
        <w:t xml:space="preserve"> - UNISON's 2025 National Delegate Conference highlighted the rapid deployment of artificial intelligence (AI) and automated systems across UK public services. The conference acknowledged the significant opportunities AI offers to transform public services but also noted potential risks, including work intensification, health and safety concerns, discriminatory outcomes, and loss of privacy. The motion called for careful consideration to maintain public control over essential infrastructure and sensitive data, emphasizing the need for appropriate intervention to mitigate these risks.</w:t>
      </w:r>
      <w:r/>
    </w:p>
    <w:p>
      <w:pPr>
        <w:pStyle w:val="ListNumber"/>
        <w:spacing w:line="240" w:lineRule="auto"/>
        <w:ind w:left="720"/>
      </w:pPr>
      <w:r/>
      <w:hyperlink r:id="rId15">
        <w:r>
          <w:rPr>
            <w:color w:val="0000EE"/>
            <w:u w:val="single"/>
          </w:rPr>
          <w:t>https://www.oxford-aiethics.ox.ac.uk/event/ai-and-state-governing-technology-governing-technology-weston-library-broad-street-oxford</w:t>
        </w:r>
      </w:hyperlink>
      <w:r>
        <w:t xml:space="preserve"> - The 'AI and the State: governing technology, governing with technology' event, held on 6th November 2025 at the Weston Library in Oxford, examined how governments can regulate AI effectively while relying on these systems to deliver essential services. The panel discussed the dual role of governments as both regulators and users of AI, raising questions about accountability, transparency, and democratic oversight. Speakers included Professor Alondra Nelson, former Acting Director of the White House Office of Science and Technology Policy.</w:t>
      </w:r>
      <w:r/>
    </w:p>
    <w:p>
      <w:pPr>
        <w:pStyle w:val="ListNumber"/>
        <w:spacing w:line="240" w:lineRule="auto"/>
        <w:ind w:left="720"/>
      </w:pPr>
      <w:r/>
      <w:hyperlink r:id="rId14">
        <w:r>
          <w:rPr>
            <w:color w:val="0000EE"/>
            <w:u w:val="single"/>
          </w:rPr>
          <w:t>https://www.itu.int/net4/wsis/forum/2025/Agenda/Session/177</w:t>
        </w:r>
      </w:hyperlink>
      <w:r>
        <w:t xml:space="preserve"> - Session 177 at the WSIS+20 High-Level Event 2025, titled 'Governance and assessment of AI systems for reliable service delivery,' focused on the adoption of AI tools in mission-critical elements of service delivery in both public and private sectors. The session emphasized the need for reliable implementation of AI governance processes to manage potential risks, especially where AI systems' failure could result in significant negative human-rights impacts. It highlighted the importance of pairing management standards and frameworks with reliable assessment procedures.</w:t>
      </w:r>
      <w:r/>
    </w:p>
    <w:p>
      <w:pPr>
        <w:pStyle w:val="ListNumber"/>
        <w:spacing w:line="240" w:lineRule="auto"/>
        <w:ind w:left="720"/>
      </w:pPr>
      <w:r/>
      <w:hyperlink r:id="rId12">
        <w:r>
          <w:rPr>
            <w:color w:val="0000EE"/>
            <w:u w:val="single"/>
          </w:rPr>
          <w:t>https://arxiv.org/abs/2503.05773</w:t>
        </w:r>
      </w:hyperlink>
      <w:r>
        <w:t xml:space="preserve"> - The paper 'Between Innovation and Oversight: A Cross-Regional Study of AI Risk Management Frameworks in the EU, U.S., UK, and China' provides a comparative analysis of AI risk management strategies across these regions. It investigates how these areas classify AI risks, implement compliance measures, structure oversight, prioritize transparency, and respond to emerging innovations. The study demonstrates the necessity for AI regulation that balances effective risk management with technological progress, offering policy recommendations and suggestions for future research.</w:t>
      </w:r>
      <w:r/>
    </w:p>
    <w:p>
      <w:pPr>
        <w:pStyle w:val="ListNumber"/>
        <w:spacing w:line="240" w:lineRule="auto"/>
        <w:ind w:left="720"/>
      </w:pPr>
      <w:r/>
      <w:hyperlink r:id="rId13">
        <w:r>
          <w:rPr>
            <w:color w:val="0000EE"/>
            <w:u w:val="single"/>
          </w:rPr>
          <w:t>https://arxiv.org/abs/2503.06411</w:t>
        </w:r>
      </w:hyperlink>
      <w:r>
        <w:t xml:space="preserve"> - The paper 'Decoding the Black Box: Integrating Moral Imagination with Technical AI Governance' examines the interplay among AI safety, security, and governance by integrating technical systems engineering with principles of moral imagination and ethical philosophy. It develops a comprehensive framework designed to regulate AI technologies deployed in high-stakes domains such as defense, finance, healthcare, and education. The study outlines strategies for enhancing AI resilience through adaptive regulatory mechanisms, robust security protocols, and interdisciplinary oversight.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martinfrastructure.eng.cam.ac.uk/news/ai-frontline-conference-2025-offers-opportunity-explore-use-and-deployment-ai-tools-across-uk" TargetMode="External"/><Relationship Id="rId10" Type="http://schemas.openxmlformats.org/officeDocument/2006/relationships/hyperlink" Target="https://www.isfl.org.uk/isfl-annual-conference-2025/" TargetMode="External"/><Relationship Id="rId11" Type="http://schemas.openxmlformats.org/officeDocument/2006/relationships/hyperlink" Target="https://www.unison.org.uk/motions/2025/national-delegate-conference/artificial-intelligence-in-public-services/" TargetMode="External"/><Relationship Id="rId12" Type="http://schemas.openxmlformats.org/officeDocument/2006/relationships/hyperlink" Target="https://arxiv.org/abs/2503.05773" TargetMode="External"/><Relationship Id="rId13" Type="http://schemas.openxmlformats.org/officeDocument/2006/relationships/hyperlink" Target="https://arxiv.org/abs/2503.06411" TargetMode="External"/><Relationship Id="rId14" Type="http://schemas.openxmlformats.org/officeDocument/2006/relationships/hyperlink" Target="https://www.itu.int/net4/wsis/forum/2025/Agenda/Session/177" TargetMode="External"/><Relationship Id="rId15" Type="http://schemas.openxmlformats.org/officeDocument/2006/relationships/hyperlink" Target="https://www.oxford-aiethics.ox.ac.uk/event/ai-and-state-governing-technology-governing-technology-weston-library-broad-street-oxfor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