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 advances towards comprehensive AI regulation with new risk-based framework</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South Korea is poised to become one of the first countries to roll out an economy‑wide regulatory framework for artificial intelligence, enshrining in law a broad, risk‑based approach intended to balance rapid technological development with safety, transparency and ethical safeguards. According to the original report, the Framework Act on the Development of Artificial Intelligence and Establishment of Trust , often described as the AI Basic Act , was enacted in January 2025 and is scheduled to take effect on 22 January 2026.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Act sets out an expansive definition of AI as the electronic implementation of human intellectual abilities , learning, reasoning, perception, judgement and language understanding , and distinguishes ordinary systems from so‑called “high‑impact AI”, those judged likely to significantly affect human life, safety or fundamental rights. Industry observers note the law also treats generative AI explicitly, applying a tiered regulatory model that subjects high‑impact and generative systems to stricter controls than low‑risk applications. </w:t>
      </w:r>
      <w:hyperlink r:id="rId9">
        <w:r>
          <w:rPr>
            <w:color w:val="0000EE"/>
            <w:u w:val="single"/>
          </w:rPr>
          <w:t>[1]</w:t>
        </w:r>
      </w:hyperlink>
      <w:hyperlink r:id="rId10">
        <w:r>
          <w:rPr>
            <w:color w:val="0000EE"/>
            <w:u w:val="single"/>
          </w:rPr>
          <w:t>[2]</w:t>
        </w:r>
      </w:hyperlink>
      <w:hyperlink r:id="rId12">
        <w:r>
          <w:rPr>
            <w:color w:val="0000EE"/>
            <w:u w:val="single"/>
          </w:rPr>
          <w:t>[7]</w:t>
        </w:r>
      </w:hyperlink>
      <w:r/>
    </w:p>
    <w:p>
      <w:r/>
      <w:r>
        <w:t xml:space="preserve">At the heart of the legislation is a risk‑based oversight regime broadly similar in concept to the EU’s AI Act: greater regulatory attention, mandatory certification and inspection precede deployment for systems used in critical infrastructure, healthcare, finance, transportation and public administration. The law mandates pre‑deployment government certification for high‑impact AI and requires operators to notify users where such systems are in use. Analysts say the framework introduces a certification‑based “trust” mechanism and a national risk management system intended to raise baseline safety across the market. </w:t>
      </w:r>
      <w:hyperlink r:id="rId9">
        <w:r>
          <w:rPr>
            <w:color w:val="0000EE"/>
            <w:u w:val="single"/>
          </w:rPr>
          <w:t>[1]</w:t>
        </w:r>
      </w:hyperlink>
      <w:hyperlink r:id="rId13">
        <w:r>
          <w:rPr>
            <w:color w:val="0000EE"/>
            <w:u w:val="single"/>
          </w:rPr>
          <w:t>[4]</w:t>
        </w:r>
      </w:hyperlink>
      <w:hyperlink r:id="rId14">
        <w:r>
          <w:rPr>
            <w:color w:val="0000EE"/>
            <w:u w:val="single"/>
          </w:rPr>
          <w:t>[5]</w:t>
        </w:r>
      </w:hyperlink>
      <w:r/>
    </w:p>
    <w:p>
      <w:r/>
      <w:r>
        <w:t xml:space="preserve">Transparency and accountability are given pride of place. High‑impact AI operators must, insofar as is technically feasible, explain the criteria and principles that produce AI outcomes, and foreign providers serving Korean users are required to designate local representatives to liaise with authorities. The legislation also establishes a national AI committee and disclosure obligations for specified AI systems, steps the government argues will increase regulatory reach and consumer protection. </w:t>
      </w:r>
      <w:hyperlink r:id="rId9">
        <w:r>
          <w:rPr>
            <w:color w:val="0000EE"/>
            <w:u w:val="single"/>
          </w:rPr>
          <w:t>[1]</w:t>
        </w:r>
      </w:hyperlink>
      <w:hyperlink r:id="rId11">
        <w:r>
          <w:rPr>
            <w:color w:val="0000EE"/>
            <w:u w:val="single"/>
          </w:rPr>
          <w:t>[3]</w:t>
        </w:r>
      </w:hyperlink>
      <w:hyperlink r:id="rId14">
        <w:r>
          <w:rPr>
            <w:color w:val="0000EE"/>
            <w:u w:val="single"/>
          </w:rPr>
          <w:t>[5]</w:t>
        </w:r>
      </w:hyperlink>
      <w:r/>
    </w:p>
    <w:p>
      <w:r/>
      <w:r>
        <w:t xml:space="preserve">The Act formalises institutional supports for safety and ethics: it creates an AI Safety Research Institute, encourages organisations to form internal AI ethics committees, and promotes public education to build trust in AI systems. Government planning documents and independent analyses highlight these moves as part of a wider national strategy to marry technical standards with ethical oversight. </w:t>
      </w:r>
      <w:hyperlink r:id="rId9">
        <w:r>
          <w:rPr>
            <w:color w:val="0000EE"/>
            <w:u w:val="single"/>
          </w:rPr>
          <w:t>[1]</w:t>
        </w:r>
      </w:hyperlink>
      <w:hyperlink r:id="rId13">
        <w:r>
          <w:rPr>
            <w:color w:val="0000EE"/>
            <w:u w:val="single"/>
          </w:rPr>
          <w:t>[4]</w:t>
        </w:r>
      </w:hyperlink>
      <w:hyperlink r:id="rId15">
        <w:r>
          <w:rPr>
            <w:color w:val="0000EE"/>
            <w:u w:val="single"/>
          </w:rPr>
          <w:t>[6]</w:t>
        </w:r>
      </w:hyperlink>
      <w:r/>
    </w:p>
    <w:p>
      <w:r/>
      <w:r>
        <w:t xml:space="preserve">Recognising that regulation can chill innovation, the law couples obligations with measures intended to bolster the domestic AI ecosystem. The state will invest in AI data centres, R&amp;D, training and standardisation; offer financial and technical assistance to startups and SMEs; and establish regulatory sandboxes and AI clusters to concentrate talent and resources. Government briefings stress prioritised support for small and medium‑sized enterprises and incentives to attract foreign AI specialists. </w:t>
      </w:r>
      <w:hyperlink r:id="rId9">
        <w:r>
          <w:rPr>
            <w:color w:val="0000EE"/>
            <w:u w:val="single"/>
          </w:rPr>
          <w:t>[1]</w:t>
        </w:r>
      </w:hyperlink>
      <w:hyperlink r:id="rId15">
        <w:r>
          <w:rPr>
            <w:color w:val="0000EE"/>
            <w:u w:val="single"/>
          </w:rPr>
          <w:t>[6]</w:t>
        </w:r>
      </w:hyperlink>
      <w:r/>
    </w:p>
    <w:p>
      <w:r/>
      <w:r>
        <w:t xml:space="preserve">Despite the comprehensive package, industry and experts have voiced reservations. Startups and business groups warn the breadth of the “high‑impact AI” definition may impose burdens on a wide array of firms, potentially slowing innovation. There are also practical questions about enforcement: subordinate regulations and the institutional machinery that will operationalise fines, certifications and inspections are still being finalised, prompting calls from some stakeholders for more time to prepare ahead of the January 2026 effective date. The law provides for penalties , including fines and, in serious cases, criminal liability , but critics say clarity on implementation will determine whether those mechanisms prove effective or disruptive. </w:t>
      </w:r>
      <w:hyperlink r:id="rId9">
        <w:r>
          <w:rPr>
            <w:color w:val="0000EE"/>
            <w:u w:val="single"/>
          </w:rPr>
          <w:t>[1]</w:t>
        </w:r>
      </w:hyperlink>
      <w:hyperlink r:id="rId11">
        <w:r>
          <w:rPr>
            <w:color w:val="0000EE"/>
            <w:u w:val="single"/>
          </w:rPr>
          <w:t>[3]</w:t>
        </w:r>
      </w:hyperlink>
      <w:hyperlink r:id="rId14">
        <w:r>
          <w:rPr>
            <w:color w:val="0000EE"/>
            <w:u w:val="single"/>
          </w:rPr>
          <w:t>[5]</w:t>
        </w:r>
      </w:hyperlink>
      <w:r/>
    </w:p>
    <w:p>
      <w:r/>
      <w:r>
        <w:t xml:space="preserve">The legislation carries clear extraterritorial intentions: activities affecting South Korea’s domestic market or users will fall within its scope irrespective of where the operator is based. Observers say that, alongside the EU’s regulatory initiatives, Seoul’s law contributes to an emerging patchwork of national AI regimes that multinationals will need to navigate. Proponents argue the mix of regulatory guardrails and targeted industrial support positions South Korea to be a global AI leader if the state can maintain a flexible, well‑resourced enforcement and standards ecosystem. </w:t>
      </w:r>
      <w:hyperlink r:id="rId9">
        <w:r>
          <w:rPr>
            <w:color w:val="0000EE"/>
            <w:u w:val="single"/>
          </w:rPr>
          <w:t>[1]</w:t>
        </w:r>
      </w:hyperlink>
      <w:hyperlink r:id="rId13">
        <w:r>
          <w:rPr>
            <w:color w:val="0000EE"/>
            <w:u w:val="single"/>
          </w:rPr>
          <w:t>[4]</w:t>
        </w:r>
      </w:hyperlink>
      <w:hyperlink r:id="rId14">
        <w:r>
          <w:rPr>
            <w:color w:val="0000EE"/>
            <w:u w:val="single"/>
          </w:rPr>
          <w:t>[5]</w:t>
        </w:r>
      </w:hyperlink>
      <w:hyperlink r:id="rId15">
        <w:r>
          <w:rPr>
            <w:color w:val="0000EE"/>
            <w:u w:val="single"/>
          </w:rPr>
          <w:t>[6]</w:t>
        </w:r>
      </w:hyperlink>
      <w:r/>
    </w:p>
    <w:p>
      <w:r/>
      <w:r>
        <w:t xml:space="preserve">As the AI Basic Act approaches its effective date, the immediate questions concern implementation detail and timing: whether subordinate rules and institutional capacities will be ready by 22 January 2026, and how regulators will balance enforcement with the government’s stated aim of nurturing an innovative AI industry. The outcome will be watched closely abroad as a test case in combining a precautionary, rights‑sensitive regulatory stance with active industrial policy. </w:t>
      </w:r>
      <w:hyperlink r:id="rId9">
        <w:r>
          <w:rPr>
            <w:color w:val="0000EE"/>
            <w:u w:val="single"/>
          </w:rPr>
          <w:t>[1]</w:t>
        </w:r>
      </w:hyperlink>
      <w:hyperlink r:id="rId11">
        <w:r>
          <w:rPr>
            <w:color w:val="0000EE"/>
            <w:u w:val="single"/>
          </w:rPr>
          <w:t>[3]</w:t>
        </w:r>
      </w:hyperlink>
      <w:hyperlink r:id="rId13">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(EditorialGE) - Paragraph 1, Paragraph 2, Paragraph 3, Paragraph 4, Paragraph 5, Paragraph 6, Paragraph 7, Paragraph 8, Paragraph 9 </w:t>
      </w:r>
      <w:r/>
    </w:p>
    <w:p>
      <w:pPr>
        <w:pStyle w:val="ListBullet"/>
        <w:spacing w:line="240" w:lineRule="auto"/>
        <w:ind w:left="720"/>
      </w:pPr>
      <w:r/>
      <w:hyperlink r:id="rId10">
        <w:r>
          <w:rPr>
            <w:color w:val="0000EE"/>
            <w:u w:val="single"/>
          </w:rPr>
          <w:t>[2]</w:t>
        </w:r>
      </w:hyperlink>
      <w:r>
        <w:t xml:space="preserve"> (AI Basic Act official site) - Paragraph 1, Paragraph 2 </w:t>
      </w:r>
      <w:r/>
    </w:p>
    <w:p>
      <w:pPr>
        <w:pStyle w:val="ListBullet"/>
        <w:spacing w:line="240" w:lineRule="auto"/>
        <w:ind w:left="720"/>
      </w:pPr>
      <w:r/>
      <w:hyperlink r:id="rId11">
        <w:r>
          <w:rPr>
            <w:color w:val="0000EE"/>
            <w:u w:val="single"/>
          </w:rPr>
          <w:t>[3]</w:t>
        </w:r>
      </w:hyperlink>
      <w:r>
        <w:t xml:space="preserve"> (The Korea Times) - Paragraph 1, Paragraph 4, Paragraph 7, Paragraph 9 </w:t>
      </w:r>
      <w:r/>
    </w:p>
    <w:p>
      <w:pPr>
        <w:pStyle w:val="ListBullet"/>
        <w:spacing w:line="240" w:lineRule="auto"/>
        <w:ind w:left="720"/>
      </w:pPr>
      <w:r/>
      <w:hyperlink r:id="rId13">
        <w:r>
          <w:rPr>
            <w:color w:val="0000EE"/>
            <w:u w:val="single"/>
          </w:rPr>
          <w:t>[4]</w:t>
        </w:r>
      </w:hyperlink>
      <w:r>
        <w:t xml:space="preserve"> (CSIS) - Paragraph 3, Paragraph 5, Paragraph 8, Paragraph 9 </w:t>
      </w:r>
      <w:r/>
    </w:p>
    <w:p>
      <w:pPr>
        <w:pStyle w:val="ListBullet"/>
        <w:spacing w:line="240" w:lineRule="auto"/>
        <w:ind w:left="720"/>
      </w:pPr>
      <w:r/>
      <w:hyperlink r:id="rId14">
        <w:r>
          <w:rPr>
            <w:color w:val="0000EE"/>
            <w:u w:val="single"/>
          </w:rPr>
          <w:t>[5]</w:t>
        </w:r>
      </w:hyperlink>
      <w:r>
        <w:t xml:space="preserve"> (White &amp; Case) - Paragraph 3, Paragraph 4, Paragraph 7, Paragraph 8 </w:t>
      </w:r>
      <w:r/>
    </w:p>
    <w:p>
      <w:pPr>
        <w:pStyle w:val="ListBullet"/>
        <w:spacing w:line="240" w:lineRule="auto"/>
        <w:ind w:left="720"/>
      </w:pPr>
      <w:r/>
      <w:hyperlink r:id="rId15">
        <w:r>
          <w:rPr>
            <w:color w:val="0000EE"/>
            <w:u w:val="single"/>
          </w:rPr>
          <w:t>[6]</w:t>
        </w:r>
      </w:hyperlink>
      <w:r>
        <w:t xml:space="preserve"> (U.S. Department of Commerce / ITA) - Paragraph 5, Paragraph 6, Paragraph 8 </w:t>
      </w:r>
      <w:r/>
    </w:p>
    <w:p>
      <w:pPr>
        <w:pStyle w:val="ListBullet"/>
        <w:spacing w:line="240" w:lineRule="auto"/>
        <w:ind w:left="720"/>
      </w:pPr>
      <w:r/>
      <w:hyperlink r:id="rId12">
        <w:r>
          <w:rPr>
            <w:color w:val="0000EE"/>
            <w:u w:val="single"/>
          </w:rPr>
          <w:t>[7]</w:t>
        </w:r>
      </w:hyperlink>
      <w:r>
        <w:t xml:space="preserve"> (Clifford Chance)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https://editorialge.com/ai-regulations-in-south-korea/</w:t>
        </w:r>
      </w:hyperlink>
      <w:r>
        <w:t xml:space="preserve"> - Please view link - unable to able to access data</w:t>
      </w:r>
      <w:r/>
    </w:p>
    <w:p>
      <w:pPr>
        <w:pStyle w:val="ListNumber"/>
        <w:spacing w:line="240" w:lineRule="auto"/>
        <w:ind w:left="720"/>
      </w:pPr>
      <w:r/>
      <w:hyperlink r:id="rId10">
        <w:r>
          <w:rPr>
            <w:color w:val="0000EE"/>
            <w:u w:val="single"/>
          </w:rPr>
          <w:t>https://aibasicact.kr/</w:t>
        </w:r>
      </w:hyperlink>
      <w:r>
        <w:t xml:space="preserve"> - The official website of South Korea's AI Basic Act, titled the Framework Act on the Development of Artificial Intelligence and Establishment of Trust, provides comprehensive information about the legislation. Enacted in January 2025 and set to take effect in January 2026, the Act introduces a multi-layered regulatory framework covering the entire spectrum of AI development and deployment. It defines AI broadly and distinguishes between general AI systems and 'high-impact AI'—those significantly affecting human life, safety, or fundamental rights. The Act also addresses generative AI and introduces a tiered approach to regulation, with stricter oversight for high-impact and generative AI systems.</w:t>
      </w:r>
      <w:r/>
    </w:p>
    <w:p>
      <w:pPr>
        <w:pStyle w:val="ListNumber"/>
        <w:spacing w:line="240" w:lineRule="auto"/>
        <w:ind w:left="720"/>
      </w:pPr>
      <w:r/>
      <w:hyperlink r:id="rId11">
        <w:r>
          <w:rPr>
            <w:color w:val="0000EE"/>
            <w:u w:val="single"/>
          </w:rPr>
          <w:t>https://www.koreatimes.co.kr/business/tech-science/20251214/ai-law-set-to-be-implemented-next-month-amid-biz-concerns</w:t>
        </w:r>
      </w:hyperlink>
      <w:r>
        <w:t xml:space="preserve"> - An article from The Korea Times discussing the upcoming implementation of South Korea's AI Basic Act, scheduled to take effect on January 22, 2026. The Act introduces comprehensive AI regulations, including the establishment of a national AI committee and the formulation of a basic three-year AI plan. It imposes safety and transparency requirements, such as disclosure obligations for certain AI systems. The article highlights concerns among startups and businesses that the new regulations could hinder industry growth and burden smaller firms.</w:t>
      </w:r>
      <w:r/>
    </w:p>
    <w:p>
      <w:pPr>
        <w:pStyle w:val="ListNumber"/>
        <w:spacing w:line="240" w:lineRule="auto"/>
        <w:ind w:left="720"/>
      </w:pPr>
      <w:r/>
      <w:hyperlink r:id="rId13">
        <w:r>
          <w:rPr>
            <w:color w:val="0000EE"/>
            <w:u w:val="single"/>
          </w:rPr>
          <w:t>https://www.csis.org/analysis/ai-security-strategy-and-south-koreas-challenges</w:t>
        </w:r>
      </w:hyperlink>
      <w:r>
        <w:t xml:space="preserve"> - A report from the Center for Strategic and International Studies (CSIS) analyzing South Korea's AI security strategy and the challenges it faces. The report details the AI Basic Act, which aims to promote AI technology development while building public trust. It covers national-level policies for AI development, support for industry growth, data center initiatives, ethical principles, and regulations for high-risk and generative AI systems. The Act introduces a risk management system to ensure the overall safety of AI systems and adopts a certification-based trust mechanism.</w:t>
      </w:r>
      <w:r/>
    </w:p>
    <w:p>
      <w:pPr>
        <w:pStyle w:val="ListNumber"/>
        <w:spacing w:line="240" w:lineRule="auto"/>
        <w:ind w:left="720"/>
      </w:pPr>
      <w:r/>
      <w:hyperlink r:id="rId14">
        <w:r>
          <w:rPr>
            <w:color w:val="0000EE"/>
            <w:u w:val="single"/>
          </w:rPr>
          <w:t>https://www.whitecase.com/insight-our-thinking/ai-watch-global-regulatory-tracker-south-korea</w:t>
        </w:r>
      </w:hyperlink>
      <w:r>
        <w:t xml:space="preserve"> - An article from White &amp; Case LLP providing insights into South Korea's AI regulations. The article discusses the Basic Act on the Development of Artificial Intelligence and the Establishment of Foundation for Trustworthiness, which was passed by the National Assembly on December 27, 2024, and is set to become effective on January 22, 2026. The Act seeks to promote the AI industry while protecting users by fostering a more secure ecosystem through stringent notice and certification requirements.</w:t>
      </w:r>
      <w:r/>
    </w:p>
    <w:p>
      <w:pPr>
        <w:pStyle w:val="ListNumber"/>
        <w:spacing w:line="240" w:lineRule="auto"/>
        <w:ind w:left="720"/>
      </w:pPr>
      <w:r/>
      <w:hyperlink r:id="rId15">
        <w:r>
          <w:rPr>
            <w:color w:val="0000EE"/>
            <w:u w:val="single"/>
          </w:rPr>
          <w:t>https://www.trade.gov/market-intelligence/south-korea-artificial-intelligence-ai-basic-act</w:t>
        </w:r>
      </w:hyperlink>
      <w:r>
        <w:t xml:space="preserve"> - A report from the U.S. Department of Commerce's International Trade Administration detailing South Korea's AI Basic Act. The Act, set to take effect in January 2026, marks a pivotal development for U.S. companies operating in or entering the Korean AI market. It establishes legal grounds for national AI governance, an AI safety institute, and various governmental initiatives in R&amp;D, standardization, and policies. The legislation also mandates separate initiatives to support national AI infrastructures, including training data and data centers, and fostering SMEs, startups, and talent in the AI field.</w:t>
      </w:r>
      <w:r/>
    </w:p>
    <w:p>
      <w:pPr>
        <w:pStyle w:val="ListNumber"/>
        <w:spacing w:line="240" w:lineRule="auto"/>
        <w:ind w:left="720"/>
      </w:pPr>
      <w:r/>
      <w:hyperlink r:id="rId12">
        <w:r>
          <w:rPr>
            <w:color w:val="0000EE"/>
            <w:u w:val="single"/>
          </w:rPr>
          <w:t>https://www.cliffordchance.com/insights/resources/blogs/talking-tech/en/articles/2025/02/tech-policy-unit-horizon-scanner-jan-2025.html</w:t>
        </w:r>
      </w:hyperlink>
      <w:r>
        <w:t xml:space="preserve"> - An article from Clifford Chance's Tech Policy Unit discussing South Korea's AI law. The article notes that on January 21, 2025, following its passage by the South Korean National Assembly, the Basic Act on Artificial Intelligence and Creation of Trust Base was signed into law. The Act defines 'high-impact AI' as 'an AI system that may have significant effects on or pose risks to human life, bodily safety, or fundamental rights.' It applies to international acts impacting South Korea’s domestic market and users, while it does not apply to national defence and security AI.</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ditorialge.com/ai-regulations-in-south-korea/" TargetMode="External"/><Relationship Id="rId10" Type="http://schemas.openxmlformats.org/officeDocument/2006/relationships/hyperlink" Target="https://aibasicact.kr/" TargetMode="External"/><Relationship Id="rId11" Type="http://schemas.openxmlformats.org/officeDocument/2006/relationships/hyperlink" Target="https://www.koreatimes.co.kr/business/tech-science/20251214/ai-law-set-to-be-implemented-next-month-amid-biz-concerns" TargetMode="External"/><Relationship Id="rId12" Type="http://schemas.openxmlformats.org/officeDocument/2006/relationships/hyperlink" Target="https://www.cliffordchance.com/insights/resources/blogs/talking-tech/en/articles/2025/02/tech-policy-unit-horizon-scanner-jan-2025.html" TargetMode="External"/><Relationship Id="rId13" Type="http://schemas.openxmlformats.org/officeDocument/2006/relationships/hyperlink" Target="https://www.csis.org/analysis/ai-security-strategy-and-south-koreas-challenges" TargetMode="External"/><Relationship Id="rId14" Type="http://schemas.openxmlformats.org/officeDocument/2006/relationships/hyperlink" Target="https://www.whitecase.com/insight-our-thinking/ai-watch-global-regulatory-tracker-south-korea" TargetMode="External"/><Relationship Id="rId15" Type="http://schemas.openxmlformats.org/officeDocument/2006/relationships/hyperlink" Target="https://www.trade.gov/market-intelligence/south-korea-artificial-intelligence-ai-basic-ac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