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Alphabet shares dip amid AI monetisation push and rising regulatory headwinds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Alphabet Inc.’s Class C shares edged lower on Monday as investor enthusiasm about AI monetisation met a widening package of regulatory and legal headwinds across Europe and the United States. The market is debating whether the industry’s priorities have shifted from capacity and spending to the speed of monetisation , and how regulatory friction might slow that transition.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Alphabet’s non‑voting Class C shares (GOOG) were trading near $309 on December 15, with a market capitalisation approaching $2.94 trillion and a trailing P/E around 23.7, while Class A shares (GOOGL) moved in lockstep. For most market participants the two share classes reflect the same economic exposure; the key distinction remains voting power. According to the original report, daily moves and headlines that affect “Alphabet stock” generally apply to both classes. </w:t>
      </w:r>
      <w:hyperlink r:id="rId9">
        <w:r>
          <w:rPr>
            <w:color w:val="0000EE"/>
            <w:u w:val="single"/>
          </w:rPr>
          <w:t>[1]</w:t>
        </w:r>
      </w:hyperlink>
      <w:r/>
    </w:p>
    <w:p>
      <w:r/>
      <w:r>
        <w:t xml:space="preserve">Wall Street’s narrative has increasingly shifted toward “monetisation” of AI rather than pure infrastructure spending. Bank of America analysts cited by the lead report argue the focus is rotating to returns and durable moats, placing Alphabet among the firms best positioned across frontier models, custom silicon, cloud and consumer distribution. That research estimates an incremental AI revenue opportunity exceeding $1 trillion over five years, split across cloud, digital advertising and subscriptions, while warning that hyperscaler capex is likely to keep rising. </w:t>
      </w:r>
      <w:hyperlink r:id="rId9">
        <w:r>
          <w:rPr>
            <w:color w:val="0000EE"/>
            <w:u w:val="single"/>
          </w:rPr>
          <w:t>[1]</w:t>
        </w:r>
      </w:hyperlink>
      <w:r/>
    </w:p>
    <w:p>
      <w:r/>
      <w:r>
        <w:t xml:space="preserve">Alphabet’s recent quarterly disclosures bolster the monetisation argument. The company reported a record $102.3 billion quarter, Google Cloud revenue up 34% to $15.2 billion, a reported Google Cloud backlog of $155 billion, and product metrics such as the Gemini App surpassing 650 million monthly active users and over 300 million paid subscriptions across services. Management also reiterated high capex guidance for 2025 , a figure that remains central to investor debate about when and how AI spending will translate into margin expansion. </w:t>
      </w:r>
      <w:hyperlink r:id="rId9">
        <w:r>
          <w:rPr>
            <w:color w:val="0000EE"/>
            <w:u w:val="single"/>
          </w:rPr>
          <w:t>[1]</w:t>
        </w:r>
      </w:hyperlink>
      <w:hyperlink r:id="rId12">
        <w:r>
          <w:rPr>
            <w:color w:val="0000EE"/>
            <w:u w:val="single"/>
          </w:rPr>
          <w:t>[7]</w:t>
        </w:r>
      </w:hyperlink>
      <w:r/>
    </w:p>
    <w:p>
      <w:r/>
      <w:r>
        <w:t xml:space="preserve">Analysts are split but leaning bullish on potential durable revenue gains tied to AI features embedded in Search, YouTube and Cloud. Several broker notes highlighted in the report lifted targets as AI features such as AI Mode and AI Overviews increased engagement, with a number of firms maintaining “Buy” or “Outperform” stances and some street‑high targets in the $350–$400 range. At the same time, other research warns of downside if capex fails to convert into profits at scale. Industry forecasts cited in coverage show a mix of 11% five‑year revenue CAGRs in bullish scenarios and warnings of a potential AI‑driven correction in the coming year. </w:t>
      </w:r>
      <w:hyperlink r:id="rId9">
        <w:r>
          <w:rPr>
            <w:color w:val="0000EE"/>
            <w:u w:val="single"/>
          </w:rPr>
          <w:t>[1]</w:t>
        </w:r>
      </w:hyperlink>
      <w:hyperlink r:id="rId13">
        <w:r>
          <w:rPr>
            <w:color w:val="0000EE"/>
            <w:u w:val="single"/>
          </w:rPr>
          <w:t>[5]</w:t>
        </w:r>
      </w:hyperlink>
      <w:hyperlink r:id="rId14">
        <w:r>
          <w:rPr>
            <w:color w:val="0000EE"/>
            <w:u w:val="single"/>
          </w:rPr>
          <w:t>[4]</w:t>
        </w:r>
      </w:hyperlink>
      <w:r/>
    </w:p>
    <w:p>
      <w:r/>
      <w:r>
        <w:t xml:space="preserve">That promising commercial picture is counterbalanced by a slate of regulatory risks that, if realised, could materially affect how Alphabet deploys and monetises AI. In Brussels the European Commission has opened a formal antitrust investigation into Google’s use of publishers’ content and YouTube videos to train AI models and power features such as AI Overviews, probing whether content was used without fair compensation or opt‑out mechanisms. The inquiry specifically examines whether those practices disadvantage competitors or impose unfair conditions on publishers. Google has warned the probe could hamper innovation and says it will engage with news and creative industries during the AI transition. </w:t>
      </w:r>
      <w:hyperlink r:id="rId10">
        <w:r>
          <w:rPr>
            <w:color w:val="0000EE"/>
            <w:u w:val="single"/>
          </w:rPr>
          <w:t>[2]</w:t>
        </w:r>
      </w:hyperlink>
      <w:hyperlink r:id="rId15">
        <w:r>
          <w:rPr>
            <w:color w:val="0000EE"/>
            <w:u w:val="single"/>
          </w:rPr>
          <w:t>[3]</w:t>
        </w:r>
      </w:hyperlink>
      <w:hyperlink r:id="rId11">
        <w:r>
          <w:rPr>
            <w:color w:val="0000EE"/>
            <w:u w:val="single"/>
          </w:rPr>
          <w:t>[6]</w:t>
        </w:r>
      </w:hyperlink>
      <w:r/>
    </w:p>
    <w:p>
      <w:r/>
      <w:r>
        <w:t xml:space="preserve">Beyond the AI‑content probe, European enforcement under the Digital Markets Act and related DMA compliance reviews threaten fines or remedies for alleged self‑preferencing in Search and for Google Play practices, with regulators signalling possible fines in 2026 if further changes are not made. In the United States, court remedies from the search monopoly litigation now include limits on default‑placement contract terms, and the Department of Justice’s ad‑tech case continues to leave a breakup remedy on the table , a structural risk because advertising remains Alphabet’s primary profit engine. These parallel legal pressures complicate how product changes intended to sustain monetisation might be received by regulators and partners. </w:t>
      </w:r>
      <w:hyperlink r:id="rId9">
        <w:r>
          <w:rPr>
            <w:color w:val="0000EE"/>
            <w:u w:val="single"/>
          </w:rPr>
          <w:t>[1]</w:t>
        </w:r>
      </w:hyperlink>
      <w:r/>
    </w:p>
    <w:p>
      <w:r/>
      <w:r>
        <w:t xml:space="preserve">There are also less prominent but notable legal developments: an administrator of Google’s defunct Russian business obtained a temporary freeze of roughly €110 million of Alphabet‑linked assets in France, reflecting a rare attempt to enforce Moscow arbitration rulings against western company assets abroad. While not material to Alphabet’s balance sheet, such actions add to cross‑border dispute risk. </w:t>
      </w:r>
      <w:hyperlink r:id="rId9">
        <w:r>
          <w:rPr>
            <w:color w:val="0000EE"/>
            <w:u w:val="single"/>
          </w:rPr>
          <w:t>[1]</w:t>
        </w:r>
      </w:hyperlink>
      <w:r/>
    </w:p>
    <w:p>
      <w:r/>
      <w:r>
        <w:t xml:space="preserve">Strategic corporate moves feed into both the bull case and investor scrutiny. Alphabet’s $32 billion acquisition of Israeli security firm Wiz was singled out by advisers and deal trackers as a major deal in 2025’s surge of Israeli tech transactions; it underscores Alphabet’s view of security as a cloud differentiator and its willingness to make large acquisitions for strategically aligned assets. Investors will watch deal integration closely as cybersecurity and cloud become central to enterprise AI adoption. </w:t>
      </w:r>
      <w:hyperlink r:id="rId9">
        <w:r>
          <w:rPr>
            <w:color w:val="0000EE"/>
            <w:u w:val="single"/>
          </w:rPr>
          <w:t>[1]</w:t>
        </w:r>
      </w:hyperlink>
      <w:r/>
    </w:p>
    <w:p>
      <w:r/>
      <w:r>
        <w:t xml:space="preserve">What matters next for shareholders is clear: demonstrable monetisation evidence in Search and YouTube advertising; sustained Cloud revenue growth and improving cloud margins as AI workloads scale; subscription ARPU expansion tied to AI features; and capex discipline that narrows the gap between spending and operating cash flow. Simultaneously, regulatory milestones in Europe and U.S. remedy processes will remain potent sentiment drivers and could force product or commercial changes that affect the timing and scale of returns. In short, Alphabet enters the end of 2025 with powerful AI tailwinds tempered by legally driven constraints that may reshape how, and how fast, those tailwinds convert into profits. </w:t>
      </w:r>
      <w:hyperlink r:id="rId9">
        <w:r>
          <w:rPr>
            <w:color w:val="0000EE"/>
            <w:u w:val="single"/>
          </w:rPr>
          <w:t>[1]</w:t>
        </w:r>
      </w:hyperlink>
      <w:hyperlink r:id="rId11">
        <w:r>
          <w:rPr>
            <w:color w:val="0000EE"/>
            <w:u w:val="single"/>
          </w:rPr>
          <w:t>[6]</w:t>
        </w:r>
      </w:hyperlink>
      <w:hyperlink r:id="rId12">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(ts2.tech)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(Reuters) - Paragraph 6 </w:t>
      </w:r>
      <w:r/>
    </w:p>
    <w:p>
      <w:pPr>
        <w:pStyle w:val="ListBullet"/>
        <w:spacing w:line="240" w:lineRule="auto"/>
        <w:ind w:left="720"/>
      </w:pPr>
      <w:r/>
      <w:hyperlink r:id="rId15">
        <w:r>
          <w:rPr>
            <w:color w:val="0000EE"/>
            <w:u w:val="single"/>
          </w:rPr>
          <w:t>[3]</w:t>
        </w:r>
      </w:hyperlink>
      <w:r>
        <w:t xml:space="preserve"> (AP News) - Paragraph 6 </w:t>
      </w:r>
      <w:r/>
    </w:p>
    <w:p>
      <w:pPr>
        <w:pStyle w:val="ListBullet"/>
        <w:spacing w:line="240" w:lineRule="auto"/>
        <w:ind w:left="720"/>
      </w:pPr>
      <w:r/>
      <w:hyperlink r:id="rId14">
        <w:r>
          <w:rPr>
            <w:color w:val="0000EE"/>
            <w:u w:val="single"/>
          </w:rPr>
          <w:t>[4]</w:t>
        </w:r>
      </w:hyperlink>
      <w:r>
        <w:t xml:space="preserve"> (MarketWatch / BCA Research summary) - Paragraph 5 </w:t>
      </w:r>
      <w:r/>
    </w:p>
    <w:p>
      <w:pPr>
        <w:pStyle w:val="ListBullet"/>
        <w:spacing w:line="240" w:lineRule="auto"/>
        <w:ind w:left="720"/>
      </w:pPr>
      <w:r/>
      <w:hyperlink r:id="rId13">
        <w:r>
          <w:rPr>
            <w:color w:val="0000EE"/>
            <w:u w:val="single"/>
          </w:rPr>
          <w:t>[5]</w:t>
        </w:r>
      </w:hyperlink>
      <w:r>
        <w:t xml:space="preserve"> (Barron’s) - Paragraph 5 </w:t>
      </w:r>
      <w:r/>
    </w:p>
    <w:p>
      <w:pPr>
        <w:pStyle w:val="ListBullet"/>
        <w:spacing w:line="240" w:lineRule="auto"/>
        <w:ind w:left="720"/>
      </w:pPr>
      <w:r/>
      <w:hyperlink r:id="rId11">
        <w:r>
          <w:rPr>
            <w:color w:val="0000EE"/>
            <w:u w:val="single"/>
          </w:rPr>
          <w:t>[6]</w:t>
        </w:r>
      </w:hyperlink>
      <w:r>
        <w:t xml:space="preserve"> (TipRanks / aggregated reporting) - Paragraph 6, Paragraph 9 </w:t>
      </w:r>
      <w:r/>
    </w:p>
    <w:p>
      <w:pPr>
        <w:pStyle w:val="ListBullet"/>
        <w:spacing w:line="240" w:lineRule="auto"/>
        <w:ind w:left="720"/>
      </w:pPr>
      <w:r/>
      <w:hyperlink r:id="rId12">
        <w:r>
          <w:rPr>
            <w:color w:val="0000EE"/>
            <w:u w:val="single"/>
          </w:rPr>
          <w:t>[7]</w:t>
        </w:r>
      </w:hyperlink>
      <w:r>
        <w:t xml:space="preserve"> (Alphabet Q3 2025 earnings / company filings) - Paragraph 4, Paragraph 9 </w:t>
      </w:r>
      <w:r/>
    </w:p>
    <w:p>
      <w:pPr>
        <w:pStyle w:val="ListBullet"/>
        <w:spacing w:line="240" w:lineRule="auto"/>
        <w:ind w:left="720"/>
      </w:pPr>
      <w:r/>
      <w:r>
        <w:t xml:space="preserve">(Reuters) - Paragraph 6 </w:t>
      </w:r>
      <w:r/>
    </w:p>
    <w:p>
      <w:pPr>
        <w:pStyle w:val="ListBullet"/>
        <w:spacing w:line="240" w:lineRule="auto"/>
        <w:ind w:left="720"/>
      </w:pPr>
      <w:r/>
      <w:r>
        <w:t xml:space="preserve">(Reuters) - Paragraph 7 </w:t>
      </w:r>
      <w:r/>
    </w:p>
    <w:p>
      <w:pPr>
        <w:pStyle w:val="ListBullet"/>
        <w:spacing w:line="240" w:lineRule="auto"/>
        <w:ind w:left="720"/>
      </w:pPr>
      <w:r/>
      <w:r>
        <w:t xml:space="preserve">(Reuters) - Paragraph 7 </w:t>
      </w:r>
      <w:r/>
    </w:p>
    <w:p>
      <w:pPr>
        <w:pStyle w:val="ListBullet"/>
        <w:spacing w:line="240" w:lineRule="auto"/>
        <w:ind w:left="720"/>
      </w:pPr>
      <w:r/>
      <w:r>
        <w:t xml:space="preserve">(Business Insider / court reporting) - Paragraph 7 </w:t>
      </w:r>
      <w:r/>
    </w:p>
    <w:p>
      <w:pPr>
        <w:pStyle w:val="ListBullet"/>
        <w:spacing w:line="240" w:lineRule="auto"/>
        <w:ind w:left="720"/>
      </w:pPr>
      <w:r/>
      <w:r>
        <w:t xml:space="preserve">(Reuters) - Paragraph 7 </w:t>
      </w:r>
      <w:r/>
    </w:p>
    <w:p>
      <w:pPr>
        <w:pStyle w:val="ListBullet"/>
        <w:spacing w:line="240" w:lineRule="auto"/>
        <w:ind w:left="720"/>
      </w:pPr>
      <w:r/>
      <w:r>
        <w:t xml:space="preserve">(Reuters) - Paragraph 8 </w:t>
      </w:r>
      <w:r/>
    </w:p>
    <w:p>
      <w:pPr>
        <w:pStyle w:val="ListBullet"/>
        <w:spacing w:line="240" w:lineRule="auto"/>
        <w:ind w:left="720"/>
      </w:pPr>
      <w:r/>
      <w:r>
        <w:t xml:space="preserve">(Reuters) - Paragraph 9 </w:t>
      </w:r>
      <w:r/>
    </w:p>
    <w:p>
      <w:pPr>
        <w:pStyle w:val="ListBullet"/>
        <w:spacing w:line="240" w:lineRule="auto"/>
        <w:ind w:left="720"/>
      </w:pPr>
      <w:r/>
      <w:r>
        <w:t xml:space="preserve">(Barron’s / Pivotal Research) - Paragraph 5 </w:t>
      </w:r>
      <w:r/>
    </w:p>
    <w:p>
      <w:pPr>
        <w:pStyle w:val="ListBullet"/>
        <w:spacing w:line="240" w:lineRule="auto"/>
        <w:ind w:left="720"/>
      </w:pPr>
      <w:r/>
      <w:r>
        <w:t>(Investing.com note)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https://ts2.tech/en/alphabet-goog-stock-news-today-ai-monetization-optimism-collides-with-eu-antitrust-probes-and-2026-capex-questions/</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https://www.reuters.com/sustainability/boards-policy-regulation/eu-launches-antitrust-probe-into-googles-use-online-content-ai-purposes-2025-12-09/</w:t>
        </w:r>
      </w:hyperlink>
      <w:r>
        <w:t xml:space="preserve"> - The European Union has initiated an antitrust investigation into Google's use of online publisher content and YouTube videos to train its artificial intelligence models, particularly AI Overviews. The European Commission is examining whether Google is exploiting its dominant position by using content without fair compensation or an option to opt out, potentially imposing unfair conditions on publishers. This scrutiny underscores growing concerns over Big Tech's dominance in the emerging AI sector. Google has responded by warning that the complaint risks hindering innovation in an increasingly competitive market and reaffirmed its commitment to engaging with news and creative industries during the AI transition.</w:t>
      </w:r>
      <w:r/>
    </w:p>
    <w:p>
      <w:pPr>
        <w:pStyle w:val="ListNumber"/>
        <w:spacing w:line="240" w:lineRule="auto"/>
        <w:ind w:left="720"/>
      </w:pPr>
      <w:r/>
      <w:hyperlink r:id="rId15">
        <w:r>
          <w:rPr>
            <w:color w:val="0000EE"/>
            <w:u w:val="single"/>
          </w:rPr>
          <w:t>https://apnews.com/article/a0267a57b55849b1855ebe08d0788c45</w:t>
        </w:r>
      </w:hyperlink>
      <w:r>
        <w:t xml:space="preserve"> - The European Union has launched a new antitrust investigation into Google, focusing on the company's use of online content to train its artificial intelligence (AI) models and services. The European Commission is examining whether Google disadvantaged competitors and violated competition laws by using content from web publishers and YouTube videos without proper compensation or opt-out mechanisms. The inquiry targets features such as AI Overviews and AI Mode, which use AI to summarize information and provide answers in search results. Google has argued that the investigation could hinder innovation in a competitive market, while EU officials emphasized that their actions are not biased against U.S. companies and are solely focused on potential harm to competition and consumers.</w:t>
      </w:r>
      <w:r/>
    </w:p>
    <w:p>
      <w:pPr>
        <w:pStyle w:val="ListNumber"/>
        <w:spacing w:line="240" w:lineRule="auto"/>
        <w:ind w:left="720"/>
      </w:pPr>
      <w:r/>
      <w:hyperlink r:id="rId14">
        <w:r>
          <w:rPr>
            <w:color w:val="0000EE"/>
            <w:u w:val="single"/>
          </w:rPr>
          <w:t>https://markets.financialcontent.com/stocks/article/predictstreet-2025-12-6-alphabet-inc-googlgoog-navigating-the-ai-frontier-and-regulatory-headwinds?Language=Spanish</w:t>
        </w:r>
      </w:hyperlink>
      <w:r>
        <w:t xml:space="preserve"> - Alphabet Inc. is navigating the rapidly advancing AI landscape amid new regulatory frameworks, notably the EU AI Act, which seeks to establish safeguards and oversight for AI systems. The company faces increasing pressure and legal challenges regarding its content moderation policies, particularly concerning political speech. Alphabet is directly impacted by several significant laws and proposed legislation, including the EU Digital Markets Act (DMA), which targets large online platforms designated as "gatekeepers." Violations can result in substantial fines, up to 10% of global turnover, or 20% for repeat offenses. The company is also contending with data privacy adaptations due to new state privacy laws in the U.S., requiring adjustments to advertising practices and implementing restricted data processing.</w:t>
      </w:r>
      <w:r/>
    </w:p>
    <w:p>
      <w:pPr>
        <w:pStyle w:val="ListNumber"/>
        <w:spacing w:line="240" w:lineRule="auto"/>
        <w:ind w:left="720"/>
      </w:pPr>
      <w:r/>
      <w:hyperlink r:id="rId13">
        <w:r>
          <w:rPr>
            <w:color w:val="0000EE"/>
            <w:u w:val="single"/>
          </w:rPr>
          <w:t>https://www.financialcontent.com/article/predictstreet-2025-12-8-alphabet-inc-goog-navigating-the-ai-frontier-with-unprecedented-investment-and-regulatory-scrutiny</w:t>
        </w:r>
      </w:hyperlink>
      <w:r>
        <w:t xml:space="preserve"> - Alphabet Inc. is navigating the AI frontier with unprecedented investment and regulatory scrutiny. The company is facing significant compliance challenges across its global operations, including antitrust compliance overhaul, data privacy adaptations, and AI regulation. Alphabet has pledged $500 million over ten years to revamp its global compliance structure, including establishing a new Risk and Compliance Committee within its Board of Directors and designing advanced internal compliance mechanisms. The company is also contending with data privacy adaptations due to new state privacy laws in the U.S., requiring adjustments to advertising practices and implementing restricted data processing. Additionally, Alphabet is building compliance frameworks to adhere to the EU AI Act, which introduces a comprehensive framework for AI, including prohibitions on harmful AI systems and oversight for general-purpose AI models.</w:t>
      </w:r>
      <w:r/>
    </w:p>
    <w:p>
      <w:pPr>
        <w:pStyle w:val="ListNumber"/>
        <w:spacing w:line="240" w:lineRule="auto"/>
        <w:ind w:left="720"/>
      </w:pPr>
      <w:r/>
      <w:hyperlink r:id="rId11">
        <w:r>
          <w:rPr>
            <w:color w:val="0000EE"/>
            <w:u w:val="single"/>
          </w:rPr>
          <w:t>https://www.tipranks.com/news/alphabet-stock-googl-down-as-eu-probes-ai-overviews-ai-mode-and-youtube</w:t>
        </w:r>
      </w:hyperlink>
      <w:r>
        <w:t xml:space="preserve"> - The European Commission has announced the launch of a formal investigation into Google's use of online content to generate AI responses for its AI Overviews and AI Mode features. AI Overviews is a feature of the Google Search engine that provides AI-generated summaries to queries by users. Similarly, AI Mode is a search tab available at the top of search results, where users can have a conversation with the chatbot about their queries. Both features are available in the Google Chrome browser. The investigation aims to determine whether Google abused its dominant position by using online content owned by web publishers and those uploaded to YouTube for these AI purposes without due compensation and without giving owners the right to refuse.</w:t>
      </w:r>
      <w:r/>
    </w:p>
    <w:p>
      <w:pPr>
        <w:pStyle w:val="ListNumber"/>
        <w:spacing w:line="240" w:lineRule="auto"/>
        <w:ind w:left="720"/>
      </w:pPr>
      <w:r/>
      <w:hyperlink r:id="rId12">
        <w:r>
          <w:rPr>
            <w:color w:val="0000EE"/>
            <w:u w:val="single"/>
          </w:rPr>
          <w:t>https://www.globlex.co.th/research/research_28110_1_20250724%20GOOG80%20%28DR%29.pdf</w:t>
        </w:r>
      </w:hyperlink>
      <w:r>
        <w:t xml:space="preserve"> - Globlex Securities has provided an analysis of Alphabet's (GOOG) stock performance, highlighting several key points. The company has raised its 2025 capital expenditure (CapEx) guidance by approximately $10 billion to $85 billion, indicating a significant increase in investment. This surge in CapEx is expected to impact depreciation and amortization (D&amp;A) expenses, potentially affecting near-term earnings per share (EPS). Additionally, management has noted tight cloud supply-demand dynamics, which could limit near-term cloud growth. The report also mentions regulatory overhang, particularly the Department of Justice's search remedies phase, which continues to pose open-ended downside risk to search revenue and may cap multiple expansion.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s2.tech/en/alphabet-goog-stock-news-today-ai-monetization-optimism-collides-with-eu-antitrust-probes-and-2026-capex-questions/" TargetMode="External"/><Relationship Id="rId10" Type="http://schemas.openxmlformats.org/officeDocument/2006/relationships/hyperlink" Target="https://www.reuters.com/sustainability/boards-policy-regulation/eu-launches-antitrust-probe-into-googles-use-online-content-ai-purposes-2025-12-09/" TargetMode="External"/><Relationship Id="rId11" Type="http://schemas.openxmlformats.org/officeDocument/2006/relationships/hyperlink" Target="https://www.tipranks.com/news/alphabet-stock-googl-down-as-eu-probes-ai-overviews-ai-mode-and-youtube" TargetMode="External"/><Relationship Id="rId12" Type="http://schemas.openxmlformats.org/officeDocument/2006/relationships/hyperlink" Target="https://www.globlex.co.th/research/research_28110_1_20250724%20GOOG80%20%28DR%29.pdf" TargetMode="External"/><Relationship Id="rId13" Type="http://schemas.openxmlformats.org/officeDocument/2006/relationships/hyperlink" Target="https://www.financialcontent.com/article/predictstreet-2025-12-8-alphabet-inc-goog-navigating-the-ai-frontier-with-unprecedented-investment-and-regulatory-scrutiny" TargetMode="External"/><Relationship Id="rId14" Type="http://schemas.openxmlformats.org/officeDocument/2006/relationships/hyperlink" Target="https://markets.financialcontent.com/stocks/article/predictstreet-2025-12-6-alphabet-inc-googlgoog-navigating-the-ai-frontier-and-regulatory-headwinds?Language=Spanish" TargetMode="External"/><Relationship Id="rId15" Type="http://schemas.openxmlformats.org/officeDocument/2006/relationships/hyperlink" Target="https://apnews.com/article/a0267a57b55849b1855ebe08d0788c4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