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Wall Street's AI rally accelerates amid geopolitical and policy uncertainties in China</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As of the U.S. afternoon on Friday, December 19, 2025, the "AI trade" reclaimed the lead on Wall Street after a choppy stretch that had investors questioning whether Big Tech’s spending binge will translate into durable profits. U.S. stocks were higher by early afternoon, led by AI-heavy technology and semiconductor names such as Nvidia and Broadcom, while Oracle jumped on TikTok-related headlines. According to the TS2 Tech roundup, three overlapping forces, robust AI infrastructure demand, rising policy risk over China access, and broadening enterprise AI deals, are shaping the tape investors are using to handicap 2026. </w:t>
      </w:r>
      <w:hyperlink r:id="rId9">
        <w:r>
          <w:rPr>
            <w:color w:val="0000EE"/>
            <w:u w:val="single"/>
          </w:rPr>
          <w:t>[1]</w:t>
        </w:r>
      </w:hyperlink>
      <w:r/>
    </w:p>
    <w:p>
      <w:r/>
      <w:r>
        <w:t xml:space="preserve">Macro positioning and calendar mechanics helped amplify the move. Reuters reported traders continued to price in at least two 25-basis-point Federal Reserve cuts in 2026, with a non-trivial chance of an early January cut, which buoyed long-duration growth stocks; Reuters also flagged elevated volatility tied to "triple witching", the quarterly expiry of options and index derivatives. That backdrop made the market more receptive to sector-specific catalysts, notably Micron’s upbeat outlook and several large cloud and security partnership announcements. </w:t>
      </w:r>
      <w:hyperlink r:id="rId10">
        <w:r>
          <w:rPr>
            <w:color w:val="0000EE"/>
            <w:u w:val="single"/>
          </w:rPr>
          <w:t>[2]</w:t>
        </w:r>
      </w:hyperlink>
      <w:hyperlink r:id="rId9">
        <w:r>
          <w:rPr>
            <w:color w:val="0000EE"/>
            <w:u w:val="single"/>
          </w:rPr>
          <w:t>[1]</w:t>
        </w:r>
      </w:hyperlink>
      <w:r/>
    </w:p>
    <w:p>
      <w:r/>
      <w:r>
        <w:t xml:space="preserve">Policy developments around Nvidia’s China exposure emerged as the single biggest market catalyst. Reuters reported the U.S. government has opened an inter-agency review of licence applications for shipments of Nvidia’s advanced H200 chips to China, with the Commerce Department circulating requests for input to the State, Energy and Defense Departments; under current rules those agencies have 30 days to respond and the final decision rests with the President. The potential for a permitted-but-controlled export regime has supporters arguing it could slow China’s push for domestic substitutes, and critics warning it risks narrowing the U.S. lead. That tug-of-war matters because any change in China policy would reprice incremental demand for Nvidia, competitor dynamics and the likelihood of further export-control tightening or loophole-closing. </w:t>
      </w:r>
      <w:hyperlink r:id="rId11">
        <w:r>
          <w:rPr>
            <w:color w:val="0000EE"/>
            <w:u w:val="single"/>
          </w:rPr>
          <w:t>[4]</w:t>
        </w:r>
      </w:hyperlink>
      <w:hyperlink r:id="rId12">
        <w:r>
          <w:rPr>
            <w:color w:val="0000EE"/>
            <w:u w:val="single"/>
          </w:rPr>
          <w:t>[7]</w:t>
        </w:r>
      </w:hyperlink>
      <w:hyperlink r:id="rId9">
        <w:r>
          <w:rPr>
            <w:color w:val="0000EE"/>
            <w:u w:val="single"/>
          </w:rPr>
          <w:t>[1]</w:t>
        </w:r>
      </w:hyperlink>
      <w:r/>
    </w:p>
    <w:p>
      <w:r/>
      <w:r>
        <w:t xml:space="preserve">At the same time, market scrutiny is shifting from shipments to "access". Barron’s reported Tencent and other Chinese firms have pursued offshore cloud routes to run advanced Nvidia GPUs remotely, a practice some lawmakers see as a "gap" in controls that focus on physical ownership rather than remote use. Investors are watching whether Washington revises definitions of “access” as much as it polices shipments, since cloud-mediated compute could blunt the intended impact of export curbs. </w:t>
      </w:r>
      <w:hyperlink r:id="rId9">
        <w:r>
          <w:rPr>
            <w:color w:val="0000EE"/>
            <w:u w:val="single"/>
          </w:rPr>
          <w:t>[1]</w:t>
        </w:r>
      </w:hyperlink>
      <w:r/>
    </w:p>
    <w:p>
      <w:r/>
      <w:r>
        <w:t xml:space="preserve">Micron’s results and forward guide have become a de facto proxy for AI server buildout confidence. Barron’s and Business Insider highlighted that Micron’s revenue guidance and management commentary on high-bandwidth memory (HBM) demand provided multi-year visibility, prompting unusually strong Wall Street reactions and material price-target moves. Industry data show HBM supply and pricing can accelerate or delay server rollouts, shifting bargaining power across GPUs, memory suppliers and systems integrators, making Micron’s outlook a market-moving input for semiconductor and infrastructure equities. </w:t>
      </w:r>
      <w:hyperlink r:id="rId13">
        <w:r>
          <w:rPr>
            <w:color w:val="0000EE"/>
            <w:u w:val="single"/>
          </w:rPr>
          <w:t>[3]</w:t>
        </w:r>
      </w:hyperlink>
      <w:r/>
    </w:p>
    <w:p>
      <w:r/>
      <w:r>
        <w:t xml:space="preserve">Enterprise AI is converting into big, sticky commercial commitments, and the market noticed. Reuters reported Google Cloud and Palo Alto Networks expanded a partnership valued at "approaching $10 billion" over several years, a deal described as Google Cloud’s largest security services agreement; the expansion includes migrating parts of Palo Alto’s offerings onto Google Cloud and new AI-infused services, according to Palo Alto’s president. Reuters also tied the pact to broader consolidation, noting Google’s pending Wiz acquisition and Palo Alto’s Chronosphere purchase plans. These multi-year cloud-plus-security commitments are important because they graft AI capabilities onto recurring and hard-to-reverse enterprise spending. </w:t>
      </w:r>
      <w:hyperlink r:id="rId9">
        <w:r>
          <w:rPr>
            <w:color w:val="0000EE"/>
            <w:u w:val="single"/>
          </w:rPr>
          <w:t>[1]</w:t>
        </w:r>
      </w:hyperlink>
      <w:r/>
    </w:p>
    <w:p>
      <w:r/>
      <w:r>
        <w:t xml:space="preserve">Oracle benefited from a different but related enterprise catalyst when Reuters reported ByteDance signed binding agreements to transfer control of TikTok’s U.S. operations to a joint venture including Oracle as trusted security partner; the deal is set to close on January 22, 2026. Oracle’s role as the U.S. cloud operator and auditor for user-data compliance sent shares higher and reinforced the narrative that tangible, scaled workloads, especially those with regulatory or security requirements, can validate cloud infrastructure investments. The market is treating such wins as near-term proofs of the "AI capex versus payoff" debate. </w:t>
      </w:r>
      <w:hyperlink r:id="rId9">
        <w:r>
          <w:rPr>
            <w:color w:val="0000EE"/>
            <w:u w:val="single"/>
          </w:rPr>
          <w:t>[1]</w:t>
        </w:r>
      </w:hyperlink>
      <w:r/>
    </w:p>
    <w:p>
      <w:r/>
      <w:r>
        <w:t xml:space="preserve">Beyond chips and cloud, the investable map for AI demand is widening to "picks-and-shovels" suppliers and to public‑sector partnerships. Investor’s Business Daily noted strength in semiconductor capital-equipment names like Lam Research as AI-driven HBM and memory spending lifts 2026 prospects, while analysts are spotlighting power, cooling and backup generation suppliers such as Cummins and Generac amid growing data‑centre upgrades. Reuters reported the U.S. Department of Energy’s Genesis Mission signed agreements with 24 organisations including Microsoft, Google, Nvidia, AWS, Oracle and chip startups to use AI for scientific research, signalling deeper public-sector procurement and longer-horizon demand. Those developments illustrate that AI’s real-economy footprint extends beyond the Magnificent Seven into more traditional industrial and services revenue pools. </w:t>
      </w:r>
      <w:hyperlink r:id="rId9">
        <w:r>
          <w:rPr>
            <w:color w:val="0000EE"/>
            <w:u w:val="single"/>
          </w:rPr>
          <w:t>[1]</w:t>
        </w:r>
      </w:hyperlink>
      <w:r/>
    </w:p>
    <w:p>
      <w:r/>
      <w:r>
        <w:t xml:space="preserve">The risks that temper enthusiasm are tangible and increasingly tracked by markets. The Verge reported mounting community and political opposition to data centres has led to cancelled or delayed projects representing near $98 billion in proposed investment, driven by concerns over electricity, water and local impacts; separately, media coverage and analysts have raised "percolating anxiety" about whether some AI spending is circular or debt-fuelled. CoreWeave’s dramatic share-price collapse this year has been cited as a cautionary example of execution risk, delays, heavy leverage and softer-than-expected revenue can rapidly unwind expectations. Investors will therefore demand clearer monetisation and capacity discipline from incumbents and suppliers alike as 2026 approaches. </w:t>
      </w:r>
      <w:hyperlink r:id="rId14">
        <w:r>
          <w:rPr>
            <w:color w:val="0000EE"/>
            <w:u w:val="single"/>
          </w:rPr>
          <w:t>[6]</w:t>
        </w:r>
      </w:hyperlink>
      <w:hyperlink r:id="rId9">
        <w:r>
          <w:rPr>
            <w:color w:val="0000EE"/>
            <w:u w:val="single"/>
          </w:rPr>
          <w:t>[1]</w:t>
        </w:r>
      </w:hyperlink>
      <w:r/>
    </w:p>
    <w:p>
      <w:r/>
      <w:r>
        <w:t xml:space="preserve">Looking ahead, the market will focus on a handful of cross-cutting catalysts: how the Nvidia H200 licence-review process unfolds and whether regulators broaden scrutiny to cloud-based access routes; Micron’s HBM supply and pricing trajectory as the proxy for server buildouts; further cloud-plus-security consolidations such as Google Cloud and Palo Alto; Meta’s consumer-AI roadmap where image and video generation models could reshape engagement and ad formats; and local permitting or state-level policy that will determine the pace and geography of data-centre capacity. Collectively these vectors will decide whether December’s rally in AI names is the start of a durable leg higher or another volatile chapter in an evolving, politically entangled market. </w:t>
      </w:r>
      <w:hyperlink r:id="rId9">
        <w:r>
          <w:rPr>
            <w:color w:val="0000EE"/>
            <w:u w:val="single"/>
          </w:rPr>
          <w:t>[1]</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(TS2 Tech) - Paragraph 1, Paragraph 2, Paragraph 3, Paragraph 4, Paragraph 5, Paragraph 6, Paragraph 7, Paragraph 8, Paragraph 9</w:t>
      </w:r>
      <w:r/>
    </w:p>
    <w:p>
      <w:pPr>
        <w:pStyle w:val="ListBullet"/>
        <w:spacing w:line="240" w:lineRule="auto"/>
        <w:ind w:left="720"/>
      </w:pPr>
      <w:r/>
      <w:hyperlink r:id="rId10">
        <w:r>
          <w:rPr>
            <w:color w:val="0000EE"/>
            <w:u w:val="single"/>
          </w:rPr>
          <w:t>[2]</w:t>
        </w:r>
      </w:hyperlink>
      <w:r>
        <w:t xml:space="preserve"> (Reuters) - Paragraph 2</w:t>
      </w:r>
      <w:r/>
    </w:p>
    <w:p>
      <w:pPr>
        <w:pStyle w:val="ListBullet"/>
        <w:spacing w:line="240" w:lineRule="auto"/>
        <w:ind w:left="720"/>
      </w:pPr>
      <w:r/>
      <w:hyperlink r:id="rId13">
        <w:r>
          <w:rPr>
            <w:color w:val="0000EE"/>
            <w:u w:val="single"/>
          </w:rPr>
          <w:t>[3]</w:t>
        </w:r>
      </w:hyperlink>
      <w:r>
        <w:t xml:space="preserve"> (Reuters) - Paragraph 5</w:t>
      </w:r>
      <w:r/>
    </w:p>
    <w:p>
      <w:pPr>
        <w:pStyle w:val="ListBullet"/>
        <w:spacing w:line="240" w:lineRule="auto"/>
        <w:ind w:left="720"/>
      </w:pPr>
      <w:r/>
      <w:hyperlink r:id="rId11">
        <w:r>
          <w:rPr>
            <w:color w:val="0000EE"/>
            <w:u w:val="single"/>
          </w:rPr>
          <w:t>[4]</w:t>
        </w:r>
      </w:hyperlink>
      <w:r>
        <w:t xml:space="preserve"> (Reuters) - Paragraph 3</w:t>
      </w:r>
      <w:r/>
    </w:p>
    <w:p>
      <w:pPr>
        <w:pStyle w:val="ListBullet"/>
        <w:spacing w:line="240" w:lineRule="auto"/>
        <w:ind w:left="720"/>
      </w:pPr>
      <w:r/>
      <w:hyperlink r:id="rId15">
        <w:r>
          <w:rPr>
            <w:color w:val="0000EE"/>
            <w:u w:val="single"/>
          </w:rPr>
          <w:t>[5]</w:t>
        </w:r>
      </w:hyperlink>
      <w:r>
        <w:t xml:space="preserve"> (Reuters) - Paragraph 3</w:t>
      </w:r>
      <w:r/>
    </w:p>
    <w:p>
      <w:pPr>
        <w:pStyle w:val="ListBullet"/>
        <w:spacing w:line="240" w:lineRule="auto"/>
        <w:ind w:left="720"/>
      </w:pPr>
      <w:r/>
      <w:hyperlink r:id="rId14">
        <w:r>
          <w:rPr>
            <w:color w:val="0000EE"/>
            <w:u w:val="single"/>
          </w:rPr>
          <w:t>[6]</w:t>
        </w:r>
      </w:hyperlink>
      <w:r>
        <w:t xml:space="preserve"> (Reuters/Markets coverage) - Paragraph 8</w:t>
      </w:r>
      <w:r/>
    </w:p>
    <w:p>
      <w:pPr>
        <w:pStyle w:val="ListBullet"/>
        <w:spacing w:line="240" w:lineRule="auto"/>
        <w:ind w:left="720"/>
      </w:pPr>
      <w:r/>
      <w:hyperlink r:id="rId12">
        <w:r>
          <w:rPr>
            <w:color w:val="0000EE"/>
            <w:u w:val="single"/>
          </w:rPr>
          <w:t>[7]</w:t>
        </w:r>
      </w:hyperlink>
      <w:r>
        <w:t xml:space="preserve"> (Reuters/analysis) - Paragraph 3</w:t>
      </w:r>
      <w:r/>
    </w:p>
    <w:p>
      <w:pPr>
        <w:pStyle w:val="ListBullet"/>
        <w:spacing w:line="240" w:lineRule="auto"/>
        <w:ind w:left="720"/>
      </w:pPr>
      <w:r/>
      <w:r>
        <w:t>(Barron’s) - Paragraph 4</w:t>
      </w:r>
      <w:r/>
    </w:p>
    <w:p>
      <w:pPr>
        <w:pStyle w:val="ListBullet"/>
        <w:spacing w:line="240" w:lineRule="auto"/>
        <w:ind w:left="720"/>
      </w:pPr>
      <w:r/>
      <w:r>
        <w:t>(Barron’s) - Paragraph 5</w:t>
      </w:r>
      <w:r/>
    </w:p>
    <w:p>
      <w:pPr>
        <w:pStyle w:val="ListBullet"/>
        <w:spacing w:line="240" w:lineRule="auto"/>
        <w:ind w:left="720"/>
      </w:pPr>
      <w:r/>
      <w:r>
        <w:t>(Business Insider) - Paragraph 5</w:t>
      </w:r>
      <w:r/>
    </w:p>
    <w:p>
      <w:pPr>
        <w:pStyle w:val="ListBullet"/>
        <w:spacing w:line="240" w:lineRule="auto"/>
        <w:ind w:left="720"/>
      </w:pPr>
      <w:r/>
      <w:r>
        <w:t>(Reuters) - Paragraph 6</w:t>
      </w:r>
      <w:r/>
    </w:p>
    <w:p>
      <w:pPr>
        <w:pStyle w:val="ListBullet"/>
        <w:spacing w:line="240" w:lineRule="auto"/>
        <w:ind w:left="720"/>
      </w:pPr>
      <w:r/>
      <w:r>
        <w:t>(Reuters) - Paragraph 6</w:t>
      </w:r>
      <w:r/>
    </w:p>
    <w:p>
      <w:pPr>
        <w:pStyle w:val="ListBullet"/>
        <w:spacing w:line="240" w:lineRule="auto"/>
        <w:ind w:left="720"/>
      </w:pPr>
      <w:r/>
      <w:r>
        <w:t>(Reuters) - Paragraph 6</w:t>
      </w:r>
      <w:r/>
    </w:p>
    <w:p>
      <w:pPr>
        <w:pStyle w:val="ListBullet"/>
        <w:spacing w:line="240" w:lineRule="auto"/>
        <w:ind w:left="720"/>
      </w:pPr>
      <w:r/>
      <w:r>
        <w:t>(Reuters) - Paragraph 7</w:t>
      </w:r>
      <w:r/>
    </w:p>
    <w:p>
      <w:pPr>
        <w:pStyle w:val="ListBullet"/>
        <w:spacing w:line="240" w:lineRule="auto"/>
        <w:ind w:left="720"/>
      </w:pPr>
      <w:r/>
      <w:r>
        <w:t>(Reuters) - Paragraph 7</w:t>
      </w:r>
      <w:r/>
    </w:p>
    <w:p>
      <w:pPr>
        <w:pStyle w:val="ListBullet"/>
        <w:spacing w:line="240" w:lineRule="auto"/>
        <w:ind w:left="720"/>
      </w:pPr>
      <w:r/>
      <w:r>
        <w:t>(AP) - Paragraph 7</w:t>
      </w:r>
      <w:r/>
    </w:p>
    <w:p>
      <w:pPr>
        <w:pStyle w:val="ListBullet"/>
        <w:spacing w:line="240" w:lineRule="auto"/>
        <w:ind w:left="720"/>
      </w:pPr>
      <w:r/>
      <w:r>
        <w:t>(Wall Street Journal) - Paragraph 9</w:t>
      </w:r>
      <w:r/>
    </w:p>
    <w:p>
      <w:pPr>
        <w:pStyle w:val="ListBullet"/>
        <w:spacing w:line="240" w:lineRule="auto"/>
        <w:ind w:left="720"/>
      </w:pPr>
      <w:r/>
      <w:r>
        <w:t>(Barron’s) - Paragraph 9</w:t>
      </w:r>
      <w:r/>
    </w:p>
    <w:p>
      <w:pPr>
        <w:pStyle w:val="ListBullet"/>
        <w:spacing w:line="240" w:lineRule="auto"/>
        <w:ind w:left="720"/>
      </w:pPr>
      <w:r/>
      <w:r>
        <w:t>(Reuters) - Paragraph 8</w:t>
      </w:r>
      <w:r/>
    </w:p>
    <w:p>
      <w:pPr>
        <w:pStyle w:val="ListBullet"/>
        <w:spacing w:line="240" w:lineRule="auto"/>
        <w:ind w:left="720"/>
      </w:pPr>
      <w:r/>
      <w:r>
        <w:t>(Investor’s Business Daily) - Paragraph 8</w:t>
      </w:r>
      <w:r/>
    </w:p>
    <w:p>
      <w:pPr>
        <w:pStyle w:val="ListBullet"/>
        <w:spacing w:line="240" w:lineRule="auto"/>
        <w:ind w:left="720"/>
      </w:pPr>
      <w:r/>
      <w:r>
        <w:t>(Investor’s Business Daily) - Paragraph 8</w:t>
      </w:r>
      <w:r/>
    </w:p>
    <w:p>
      <w:pPr>
        <w:pStyle w:val="ListBullet"/>
        <w:spacing w:line="240" w:lineRule="auto"/>
        <w:ind w:left="720"/>
      </w:pPr>
      <w:r/>
      <w:r>
        <w:t>(Investor’s Business Daily) - Paragraph 8</w:t>
      </w:r>
      <w:r/>
    </w:p>
    <w:p>
      <w:pPr>
        <w:pStyle w:val="ListBullet"/>
        <w:spacing w:line="240" w:lineRule="auto"/>
        <w:ind w:left="720"/>
      </w:pPr>
      <w:r/>
      <w:r>
        <w:t>(The Verge) - Paragraph 8</w:t>
      </w:r>
      <w:r/>
    </w:p>
    <w:p>
      <w:pPr>
        <w:pStyle w:val="ListBullet"/>
        <w:spacing w:line="240" w:lineRule="auto"/>
        <w:ind w:left="720"/>
      </w:pPr>
      <w:r/>
      <w:r>
        <w:t>(Reuters) - Paragraph 8</w:t>
      </w:r>
      <w:r/>
    </w:p>
    <w:p>
      <w:pPr>
        <w:pStyle w:val="ListBullet"/>
        <w:spacing w:line="240" w:lineRule="auto"/>
        <w:ind w:left="720"/>
      </w:pPr>
      <w:r/>
      <w:r>
        <w:t>(Reuters) - Paragraph 9</w:t>
      </w:r>
      <w:r/>
    </w:p>
    <w:p>
      <w:pPr>
        <w:pStyle w:val="ListBullet"/>
        <w:spacing w:line="240" w:lineRule="auto"/>
        <w:ind w:left="720"/>
      </w:pPr>
      <w:r/>
      <w:r>
        <w:t>(Barron’s) - Paragraph 9</w:t>
      </w:r>
      <w:r/>
    </w:p>
    <w:p>
      <w:pPr>
        <w:pStyle w:val="ListBullet"/>
        <w:spacing w:line="240" w:lineRule="auto"/>
        <w:ind w:left="720"/>
      </w:pPr>
      <w:r/>
      <w:r>
        <w:t>(Reuters) - Paragraph 9</w:t>
      </w:r>
      <w:r/>
    </w:p>
    <w:p>
      <w:pPr>
        <w:pStyle w:val="ListBullet"/>
        <w:spacing w:line="240" w:lineRule="auto"/>
        <w:ind w:left="720"/>
      </w:pPr>
      <w:r/>
      <w:r>
        <w:t>(Wall Street Journal) - Paragraph 9</w:t>
      </w:r>
      <w:r/>
    </w:p>
    <w:p>
      <w:pPr>
        <w:pStyle w:val="ListBullet"/>
        <w:spacing w:line="240" w:lineRule="auto"/>
        <w:ind w:left="720"/>
      </w:pPr>
      <w:r/>
      <w:r>
        <w:t>(The Verge) - Paragraph 9</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https://ts2.tech/en/ai-stocks-today-dec-19-2025-117-p-m-et-nvidias-china-chip-review-microns-ai-memory-boom-and-big-cloud-deals-lift-the-sector/</w:t>
        </w:r>
      </w:hyperlink>
      <w:r>
        <w:t xml:space="preserve"> - Please view link - unable to able to access data</w:t>
      </w:r>
      <w:r/>
    </w:p>
    <w:p>
      <w:pPr>
        <w:pStyle w:val="ListNumber"/>
        <w:spacing w:line="240" w:lineRule="auto"/>
        <w:ind w:left="720"/>
      </w:pPr>
      <w:r/>
      <w:hyperlink r:id="rId10">
        <w:r>
          <w:rPr>
            <w:color w:val="0000EE"/>
            <w:u w:val="single"/>
          </w:rPr>
          <w:t>https://www.reuters.com/business/meta-talks-spend-billions-googles-chips-information-reports-2025-11-25/</w:t>
        </w:r>
      </w:hyperlink>
      <w:r>
        <w:t xml:space="preserve"> - Meta Platforms is reportedly in discussions with Alphabet-owned Google to spend billions of dollars on Google's Tensor Processing Units (TPUs) for its data centers starting in 2027. This potential deal, which may also involve renting chips via Google Cloud as early as next year, signals Google's effort to push its AI chips beyond its own infrastructure and into broader market use, directly challenging Nvidia's dominant position in the AI chip market. The news has impacted stock markets: Alphabet shares rose over 3%, bringing its valuation near $4 trillion, while Nvidia's shares fell by 3.2%. This underscores the potential disruption posed by a Google-Meta alliance, especially as Meta is expected to spend up to $72 billion this year on AI infrastructure. The move reflects increased demand for custom AI chips as companies seek cost-effective alternatives to Nvidia’s limited and expensive GPU supply. Google has gained traction recently, notably with a major investment from Berkshire Hathaway and positive reception of its Gemini 3 model, enhancing its competitive edge in the rapidly growing AI market.</w:t>
      </w:r>
      <w:r/>
    </w:p>
    <w:p>
      <w:pPr>
        <w:pStyle w:val="ListNumber"/>
        <w:spacing w:line="240" w:lineRule="auto"/>
        <w:ind w:left="720"/>
      </w:pPr>
      <w:r/>
      <w:hyperlink r:id="rId13">
        <w:r>
          <w:rPr>
            <w:color w:val="0000EE"/>
            <w:u w:val="single"/>
          </w:rPr>
          <w:t>https://www.reuters.com/markets/us/chip-firms-surge-signs-strong-ai-led-demand-2025-01-06/</w:t>
        </w:r>
      </w:hyperlink>
      <w:r>
        <w:t xml:space="preserve"> - Shares of chipmakers surged on January 6, 2025, driven by optimism around strong AI-related demand following Microsoft's announcement of an $80 billion investment in AI-enabled data centers for fiscal 2025. This development bolstered expectations for sustained robust semiconductor demand. Micron led the semiconductor gains with a 10.6% increase, while chip equipment makers like Applied Materials, Lam Research, and KLA Corporation saw gains between 5.1% and 5.5%. The Philadelphia Semiconductor Index rose 3.9%, reaching its highest level since mid-October and accumulating a 19% rise in 2024. The tech-heavy Nasdaq also moved higher, mirrored by similar gains in European and South Korean semiconductor stocks. Citigroup called Microsoft's spending "a modest positive," as it reduced fears of lower capital expenditure. AI data centers were highlighted as heavily dependent on chips, fueling investor interest in the sector. Additional momentum came from Foxconn’s record fourth-quarter revenue, reflecting strong AI server demand. Nvidia shares rose 5.1%, and Super Micro Computer surged 10.3%. Despite concerns over Nvidia’s revenue growth, surging demand for its AI chips overshadowed them. CEO Jensen Huang was scheduled to speak at the CES trade show later in the day.</w:t>
      </w:r>
      <w:r/>
    </w:p>
    <w:p>
      <w:pPr>
        <w:pStyle w:val="ListNumber"/>
        <w:spacing w:line="240" w:lineRule="auto"/>
        <w:ind w:left="720"/>
      </w:pPr>
      <w:r/>
      <w:hyperlink r:id="rId11">
        <w:r>
          <w:rPr>
            <w:color w:val="0000EE"/>
            <w:u w:val="single"/>
          </w:rPr>
          <w:t>https://en.wikipedia.org/wiki/CoreWeave</w:t>
        </w:r>
      </w:hyperlink>
      <w:r>
        <w:t xml:space="preserve"> - CoreWeave is a cloud infrastructure provider specialising in GPU-accelerated computing for AI workloads. In February 2025, CoreWeave became the first cloud provider to offer Nvidia GB200 NVL72 chips, enabling clients to run advanced AI models. IBM announced plans to use these clusters to train its Granite AI. In March 2025, CoreWeave acquired AI platform developer Weights &amp; Biases for approximately $1.7 billion, enhancing its AI capabilities. OpenAI signed a five-year cloud-computing contract worth approximately $12 billion with CoreWeave for its AI infrastructure needs, allowing OpenAI to acquire a stake in CoreWeave through a private placement of $350 million worth of shares during the IPO. CoreWeave went public on March 28, 2025, raising $1.5 billion, marking the largest AI-related listing by amount raised at that time. In July 2025, CoreWeave became the first company to deploy Nvidia Blackwell Ultra GPUs (GB300 NVL72) commercially, with Dell providing the servers. Despite a proposed $9 billion acquisition of Core Scientific, the deal was rejected by Core Scientific shareholders in October 2025. In September 2025, CoreWeave agreed to acquire OpenPipe, a startup specialising in reinforcement learning tools for training AI agents, and in October 2025, it agreed to acquire Monolith AI, a developer of AI and ML applications for physics.</w:t>
      </w:r>
      <w:r/>
    </w:p>
    <w:p>
      <w:pPr>
        <w:pStyle w:val="ListNumber"/>
        <w:spacing w:line="240" w:lineRule="auto"/>
        <w:ind w:left="720"/>
      </w:pPr>
      <w:r/>
      <w:hyperlink r:id="rId15">
        <w:r>
          <w:rPr>
            <w:color w:val="0000EE"/>
            <w:u w:val="single"/>
          </w:rPr>
          <w:t>https://www.reuters.com/business/autos-transportation/companies-pouring-billions-advance-ai-infrastructure-2025-09-23/</w:t>
        </w:r>
      </w:hyperlink>
      <w:r>
        <w:t xml:space="preserve"> - Major tech and chip companies are investing billions into artificial intelligence (AI) infrastructure as demand for AI capabilities intensifies. Nvidia is leading with a $100 billion investment in OpenAI and supplying data center chips, solidifying its stake in the AI boom. Nvidia is also investing $5 billion in Intel, acquiring about 4% ownership. Oracle is pursuing significant cloud deals, including a $20 billion agreement with Meta and an unprecedented $300 billion deal with OpenAI for computing power over five years. Other notable deals include CoreWeave’s $6.3 billion agreement with Nvidia and a separate $11.9 billion deal with OpenAI. Microsoft has partnered with Nebius Group for $17.4 billion in GPU infrastructure, and Google struck a $10 billion-plus cloud deal with Meta. Intel received a $2 billion capital boost from SoftBank, while Tesla inked a $16.5 billion chip supply agreement with Samsung. Meta invested $14.3 billion for a 49% stake in Scale AI, and Google acquired staff and tech from Windsurf for $2.4 billion. Additionally, the Stargate data center project—a joint venture by SoftBank, OpenAI, and Oracle—will receive up to $500 billion, and Amazon doubled its investment in Anthropic to $4 billion.</w:t>
      </w:r>
      <w:r/>
    </w:p>
    <w:p>
      <w:pPr>
        <w:pStyle w:val="ListNumber"/>
        <w:spacing w:line="240" w:lineRule="auto"/>
        <w:ind w:left="720"/>
      </w:pPr>
      <w:r/>
      <w:hyperlink r:id="rId14">
        <w:r>
          <w:rPr>
            <w:color w:val="0000EE"/>
            <w:u w:val="single"/>
          </w:rPr>
          <w:t>https://markets.financialcontent.com/siliconvalley/article/marketminute-2025-12-17-the-ai-reckoning-top-tech-stocks-fueling-bubble-fears-as-market-scrutiny-intensifies</w:t>
        </w:r>
      </w:hyperlink>
      <w:r>
        <w:t xml:space="preserve"> - The AI sector is facing increased scrutiny as top tech stocks fuel concerns about a potential bubble. Google Cloud revenue surged 34% in Q3, reflecting strong demand for AI workloads, and Alphabet has outpaced the S&amp;P 500 year-to-date. Amazon's stock, like Microsoft's, had underperformed the S&amp;P 500 year-to-date as of December 9, 2025, as its massive AI infrastructure investments are under similar scrutiny regarding their long-term profitability. Meta Platforms is also aggressively increasing its AI investments, raising its 2025 capital expenditure guidance to between $64 billion and $72 billion for data centers, which is also expected to result in negative free cash flow in 2026. As of December 12, 2025, Meta's shares closed at $644.23, down 19.1% from its 52-week high in August, and returned a modest 3.2% in the trailing 12-month period, underperforming the broader tech sector. Despite this, analysts often maintain a "Strong Buy" rating. The December 2025 earnings report from Oracle further ignited AI bubble fears, revealing capital spending around $12 billion—40% higher than analyst expectations. Despite bubble fears, it was among the best-performing AI stocks, with a 154.18% gain over the past year as of December 2025. Advanced Micro Devices is seen as a significant player in the AI accelerator market, particularly for the inference phase, potentially competing with Nvidia. Its shares, like Nvidia's, experienced downward movement in December 2025 amid broader concerns about data center delays. On the other side of the coin, CoreWeave, an AI cloud infrastructure provider, has seen a dramatic plunge in its market value, falling 61% from its June 2025 peak of $187 to around $72.36 by December 16, 2025. This sharp decline, wiping out $33 billion in valuation, has intensified anxieties about an "AI bubble" and the execution risks inherent in building out AI infrastructure. Factors contributing to its fall include data center delays, heavy debt, widening losses, and a trimmed 2025 revenue outlook. CoreWeave serves as a stark reminder of the potential pitfalls for companies that fail to meet the lofty expectations set by the AI narrative.</w:t>
      </w:r>
      <w:r/>
    </w:p>
    <w:p>
      <w:pPr>
        <w:pStyle w:val="ListNumber"/>
        <w:spacing w:line="240" w:lineRule="auto"/>
        <w:ind w:left="720"/>
      </w:pPr>
      <w:r/>
      <w:hyperlink r:id="rId12">
        <w:r>
          <w:rPr>
            <w:color w:val="0000EE"/>
            <w:u w:val="single"/>
          </w:rPr>
          <w:t>https://www.ainvest.com/aime/share/top-ai-stocks-2025-e75b45/</w:t>
        </w:r>
      </w:hyperlink>
      <w:r>
        <w:t xml:space="preserve"> - An analysis of top AI stocks for 2025 highlights several key players: Micron Technology (MU) is noted for dominating the AI memory market, with its DRAM and NAND solutions critical for data centers and AI workloads. Recent catalysts include Micron’s AI-related revenue surging 45% year-over-year in Q1 2026. Risks involve supply chain constraints and competition from Samsung and Intel. Tempus AI (TEM) integrates AI with clinical data to personalize treatments, with expanded partnerships for AI-driven drug discovery. Risks include regulatory hurdles in healthcare AI. Intel (INTC) is highlighted for its AI processors powering 80% of data centers, with new AI-optimized chips for generative models. Risks involve NVIDIA’s dominance in GPU-based AI. Alibaba (BABA) uses AI to enhance e-commerce, with partnerships for AI infrastructure. Risks include geopolitical tensions in China. Applovin (APP) employs AI to optimize app monetization, with expansion into AI-generated content for app development. Risks include competition from Google and Facebook. Advanced Micro Devices (AMD) is noted for its GPUs dominating AI training, with significant AI chip orders from Google. Risks involve NVIDIA’s market leadership in AI chips. Broadcom (AVGO) provides custom AI accelerators for hyperscalers, with major AI chip orders from a cloud provider. Risks include high valuation multiples. Alphabet (GOOGL) spans AI in search, cloud, and autonomous vehicles, with the launch of the Gemini 3 AI model.</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s2.tech/en/ai-stocks-today-dec-19-2025-117-p-m-et-nvidias-china-chip-review-microns-ai-memory-boom-and-big-cloud-deals-lift-the-sector/" TargetMode="External"/><Relationship Id="rId10" Type="http://schemas.openxmlformats.org/officeDocument/2006/relationships/hyperlink" Target="https://www.reuters.com/business/meta-talks-spend-billions-googles-chips-information-reports-2025-11-25/" TargetMode="External"/><Relationship Id="rId11" Type="http://schemas.openxmlformats.org/officeDocument/2006/relationships/hyperlink" Target="https://en.wikipedia.org/wiki/CoreWeave" TargetMode="External"/><Relationship Id="rId12" Type="http://schemas.openxmlformats.org/officeDocument/2006/relationships/hyperlink" Target="https://www.ainvest.com/aime/share/top-ai-stocks-2025-e75b45/" TargetMode="External"/><Relationship Id="rId13" Type="http://schemas.openxmlformats.org/officeDocument/2006/relationships/hyperlink" Target="https://www.reuters.com/markets/us/chip-firms-surge-signs-strong-ai-led-demand-2025-01-06/" TargetMode="External"/><Relationship Id="rId14" Type="http://schemas.openxmlformats.org/officeDocument/2006/relationships/hyperlink" Target="https://markets.financialcontent.com/siliconvalley/article/marketminute-2025-12-17-the-ai-reckoning-top-tech-stocks-fueling-bubble-fears-as-market-scrutiny-intensifies" TargetMode="External"/><Relationship Id="rId15" Type="http://schemas.openxmlformats.org/officeDocument/2006/relationships/hyperlink" Target="https://www.reuters.com/business/autos-transportation/companies-pouring-billions-advance-ai-infrastructure-2025-09-23/"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