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considers reforming copyright law amidst AI training controversies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rapid ascent of generative artificial intelligence has forced a reappraisal of copyright law in India, with the central government now explicitly examining whether the Copyright Act, 1957 remains fit for purpose in an era when machines ingest and repurpose vast stores of human expression. According to a written reply in Parliament by Union Minister of State for Commerce and Industry Jitin Prasada, the Department for Promotion of Industry and Internal Trade (DPIIT) has convened an eight‑member expert committee, established on April 28, 2025, and has published Part 1 of a working paper on the use of copyrighted content in AI training, opening it for stakeholder feedback. </w:t>
      </w:r>
      <w:hyperlink r:id="rId9">
        <w:r>
          <w:rPr>
            <w:color w:val="0000EE"/>
            <w:u w:val="single"/>
          </w:rPr>
          <w:t>[1]</w:t>
        </w:r>
      </w:hyperlink>
      <w:hyperlink r:id="rId10">
        <w:r>
          <w:rPr>
            <w:color w:val="0000EE"/>
            <w:u w:val="single"/>
          </w:rPr>
          <w:t>[2]</w:t>
        </w:r>
      </w:hyperlink>
      <w:r/>
    </w:p>
    <w:p>
      <w:r/>
      <w:r>
        <w:t xml:space="preserve">The committee’s remit, as set out by the government, includes analysing legal and policy challenges arising from AI’s use within the copyright framework, assessing whether existing statutory provisions are adequate, and recommending changes where necessary. The government has signalled that these findings will feed into a forthcoming white paper that could guide legislative or administrative responses. </w:t>
      </w:r>
      <w:hyperlink r:id="rId9">
        <w:r>
          <w:rPr>
            <w:color w:val="0000EE"/>
            <w:u w:val="single"/>
          </w:rPr>
          <w:t>[1]</w:t>
        </w:r>
      </w:hyperlink>
      <w:hyperlink r:id="rId10">
        <w:r>
          <w:rPr>
            <w:color w:val="0000EE"/>
            <w:u w:val="single"/>
          </w:rPr>
          <w:t>[2]</w:t>
        </w:r>
      </w:hyperlink>
      <w:r/>
    </w:p>
    <w:p>
      <w:r/>
      <w:r>
        <w:t xml:space="preserve">At the heart of the debate is the training of AI models on copyrighted material scraped from the internet and other sources. Industry submissions to the government have urged clarification of the legality of such practices, including possible amendments to the Copyright Act and clearer definitions of “fair dealing,” while calling for public consultation on governance issues including transparency and deepfakes. According to the industry, legal certainty is essential to promote adoption and investment in AI. </w:t>
      </w:r>
      <w:hyperlink r:id="rId11">
        <w:r>
          <w:rPr>
            <w:color w:val="0000EE"/>
            <w:u w:val="single"/>
          </w:rPr>
          <w:t>[3]</w:t>
        </w:r>
      </w:hyperlink>
      <w:r/>
    </w:p>
    <w:p>
      <w:r/>
      <w:r>
        <w:t xml:space="preserve">Creators and rights‑holders say the current state of play amounts to uncompensated appropriation of creative labour. Artists, journalists, photographers, publishers and their representative organisations have argued that generative AI companies are free‑riding on decades of human creativity by using copyrighted works as raw material without licensing or remuneration; this backlash is manifesting in litigation and collective bargaining efforts worldwide. The Indian context is already seeing related legal action, most notably a copyright suit by ANI Media against OpenAI alleging unauthorised use of news content to train ChatGPT.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That litigation has also exposed jurisdictional and cross‑border complications. OpenAI has responded in Indian proceedings by arguing that its model training and data storage occurred outside India and therefore fall beyond the territorial reach of the Indian Copyright Act; it has further said it cannot delete training data where it is bound by foreign legal or operational constraints. These positions raise acute questions for enforcement if training datasets are dispersed and operations are global. </w:t>
      </w:r>
      <w:hyperlink r:id="rId13">
        <w:r>
          <w:rPr>
            <w:color w:val="0000EE"/>
            <w:u w:val="single"/>
          </w:rPr>
          <w:t>[4]</w:t>
        </w:r>
      </w:hyperlink>
      <w:hyperlink r:id="rId14">
        <w:r>
          <w:rPr>
            <w:color w:val="0000EE"/>
            <w:u w:val="single"/>
          </w:rPr>
          <w:t>[5]</w:t>
        </w:r>
      </w:hyperlink>
      <w:hyperlink r:id="rId12">
        <w:r>
          <w:rPr>
            <w:color w:val="0000EE"/>
            <w:u w:val="single"/>
          </w:rPr>
          <w:t>[6]</w:t>
        </w:r>
      </w:hyperlink>
      <w:r/>
    </w:p>
    <w:p>
      <w:r/>
      <w:r>
        <w:t xml:space="preserve">A second, equally fraught issue is whether outputs generated by AI can attract copyright protection at all. Traditional Indian doctrine links originality to human skill, labour and judgment; if an algorithm merely recombines existing works, courts and policymakers will have to decide whether such outputs qualify as “original” or belong to the public domain. Conversely, denying protection could chill commercial deployment by removing exclusivity for businesses that invest in machine‑generated content. The hybrid reality, where human prompting, selection and editing intermix with automated generation, complicates any bright‑line test. </w:t>
      </w:r>
      <w:hyperlink r:id="rId9">
        <w:r>
          <w:rPr>
            <w:color w:val="0000EE"/>
            <w:u w:val="single"/>
          </w:rPr>
          <w:t>[1]</w:t>
        </w:r>
      </w:hyperlink>
      <w:r/>
    </w:p>
    <w:p>
      <w:r/>
      <w:r>
        <w:t xml:space="preserve">The problem stretches beyond text to images, music and video. Image‑generation models that produce work “in the style of” living or deceased artists, and music systems that emulate genres or performers, test the boundary between lawful influence and actionable imitation. In India’s burgeoning NFT and digital‑art ecosystems these questions have immediate market consequences; unclear ownership rules risk disputes over authenticity, monetisation and the distribution of value between human creators and platform or model owners. </w:t>
      </w:r>
      <w:hyperlink r:id="rId9">
        <w:r>
          <w:rPr>
            <w:color w:val="0000EE"/>
            <w:u w:val="single"/>
          </w:rPr>
          <w:t>[1]</w:t>
        </w:r>
      </w:hyperlink>
      <w:r/>
    </w:p>
    <w:p>
      <w:r/>
      <w:r>
        <w:t xml:space="preserve">Policy options under consideration range from calibrated exceptions for model training, to collective licensing mechanisms, to transparency and provenance obligations for AI developers, and potentially to novel rights tailored for AI‑generated works. Any framework will need to balance protection for authors, journalists and artists against regulatory burdens that could concentrate AI capabilities in a handful of deep‑pocketed firms. DPIIT’s expert committee and the forthcoming white paper will be pivotal in translating these trade‑offs into concrete proposals.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For now, India’s legal system and market participants are operating in a period of uncertainty that is playing out in courts, regulator consultations and industry submissions. The outcome will shape not only how value is allocated between humans and machines in India’s creative industries, but may also influence international approaches to AI and copyright governance in a globally interconnected digital economy. </w:t>
      </w:r>
      <w:hyperlink r:id="rId9">
        <w:r>
          <w:rPr>
            <w:color w:val="0000EE"/>
            <w:u w:val="single"/>
          </w:rPr>
          <w:t>[1]</w:t>
        </w:r>
      </w:hyperlink>
      <w:hyperlink r:id="rId11">
        <w:r>
          <w:rPr>
            <w:color w:val="0000EE"/>
            <w:u w:val="single"/>
          </w:rPr>
          <w:t>[3]</w:t>
        </w:r>
      </w:hyperlink>
      <w:hyperlink r:id="rId13">
        <w:r>
          <w:rPr>
            <w:color w:val="0000EE"/>
            <w:u w:val="single"/>
          </w:rPr>
          <w:t>[4]</w:t>
        </w:r>
      </w:hyperlink>
      <w:hyperlink r:id="rId12">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(India Legal Live) - Paragraph 1, Paragraph 2, Paragraph 4, Paragraph 6, Paragraph 7, Paragraph 8, Paragraph 9 </w:t>
      </w:r>
      <w:r/>
    </w:p>
    <w:p>
      <w:pPr>
        <w:pStyle w:val="ListBullet"/>
        <w:spacing w:line="240" w:lineRule="auto"/>
        <w:ind w:left="720"/>
      </w:pPr>
      <w:r/>
      <w:hyperlink r:id="rId10">
        <w:r>
          <w:rPr>
            <w:color w:val="0000EE"/>
            <w:u w:val="single"/>
          </w:rPr>
          <w:t>[2]</w:t>
        </w:r>
      </w:hyperlink>
      <w:r>
        <w:t xml:space="preserve"> (Business Standard) - Paragraph 1, Paragraph 2, Paragraph 8 </w:t>
      </w:r>
      <w:r/>
    </w:p>
    <w:p>
      <w:pPr>
        <w:pStyle w:val="ListBullet"/>
        <w:spacing w:line="240" w:lineRule="auto"/>
        <w:ind w:left="720"/>
      </w:pPr>
      <w:r/>
      <w:hyperlink r:id="rId11">
        <w:r>
          <w:rPr>
            <w:color w:val="0000EE"/>
            <w:u w:val="single"/>
          </w:rPr>
          <w:t>[3]</w:t>
        </w:r>
      </w:hyperlink>
      <w:r>
        <w:t xml:space="preserve"> (Economic Times) - Paragraph 3, Paragraph 4, Paragraph 8, Paragraph 9 </w:t>
      </w:r>
      <w:r/>
    </w:p>
    <w:p>
      <w:pPr>
        <w:pStyle w:val="ListBullet"/>
        <w:spacing w:line="240" w:lineRule="auto"/>
        <w:ind w:left="720"/>
      </w:pPr>
      <w:r/>
      <w:hyperlink r:id="rId13">
        <w:r>
          <w:rPr>
            <w:color w:val="0000EE"/>
            <w:u w:val="single"/>
          </w:rPr>
          <w:t>[4]</w:t>
        </w:r>
      </w:hyperlink>
      <w:r>
        <w:t xml:space="preserve"> (Firstpost) - Paragraph 5, Paragraph 9 </w:t>
      </w:r>
      <w:r/>
    </w:p>
    <w:p>
      <w:pPr>
        <w:pStyle w:val="ListBullet"/>
        <w:spacing w:line="240" w:lineRule="auto"/>
        <w:ind w:left="720"/>
      </w:pPr>
      <w:r/>
      <w:hyperlink r:id="rId14">
        <w:r>
          <w:rPr>
            <w:color w:val="0000EE"/>
            <w:u w:val="single"/>
          </w:rPr>
          <w:t>[5]</w:t>
        </w:r>
      </w:hyperlink>
      <w:r>
        <w:t xml:space="preserve"> (Hindustan Times) - Paragraph 5 </w:t>
      </w:r>
      <w:r/>
    </w:p>
    <w:p>
      <w:pPr>
        <w:pStyle w:val="ListBullet"/>
        <w:spacing w:line="240" w:lineRule="auto"/>
        <w:ind w:left="720"/>
      </w:pPr>
      <w:r/>
      <w:hyperlink r:id="rId12">
        <w:r>
          <w:rPr>
            <w:color w:val="0000EE"/>
            <w:u w:val="single"/>
          </w:rPr>
          <w:t>[6]</w:t>
        </w:r>
      </w:hyperlink>
      <w:r>
        <w:t xml:space="preserve"> (The IP Press) - Paragraph 4, Paragraph 5,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https://indialegallive.com/cover-story-articles/il-feature-news/copyright-law-generative-artificial-intelligence-statutory-protection-challenges-problems/</w:t>
        </w:r>
      </w:hyperlink>
      <w:r>
        <w:t xml:space="preserve"> - Please view link - unable to able to access data</w:t>
      </w:r>
      <w:r/>
    </w:p>
    <w:p>
      <w:pPr>
        <w:pStyle w:val="ListNumber"/>
        <w:spacing w:line="240" w:lineRule="auto"/>
        <w:ind w:left="720"/>
      </w:pPr>
      <w:r/>
      <w:hyperlink r:id="rId10">
        <w:r>
          <w:rPr>
            <w:color w:val="0000EE"/>
            <w:u w:val="single"/>
          </w:rPr>
          <w:t>https://www.business-standard.com/india-news/centre-copyright-act-1957-review-generative-content-ai-ownership-lok-sabha-125121700700_1.html</w:t>
        </w:r>
      </w:hyperlink>
      <w:r>
        <w:t xml:space="preserve"> - The Indian government is reviewing the Copyright Act, 1957, to address challenges posed by generative artificial intelligence (AI). The Department for Promotion of Industry and Internal Trade (DPIIT) has established an eight-member expert committee to examine the implications of generative AI on copyright law. The committee's mandate includes analyzing legal and policy challenges arising from AI's use within the copyright framework, assessing the adequacy of existing statutory provisions, and making recommendations for necessary changes. This initiative reflects India's proactive approach to adapting its legal framework to the evolving landscape of AI and copyright issues.</w:t>
      </w:r>
      <w:r/>
    </w:p>
    <w:p>
      <w:pPr>
        <w:pStyle w:val="ListNumber"/>
        <w:spacing w:line="240" w:lineRule="auto"/>
        <w:ind w:left="720"/>
      </w:pPr>
      <w:r/>
      <w:hyperlink r:id="rId11">
        <w:r>
          <w:rPr>
            <w:color w:val="0000EE"/>
            <w:u w:val="single"/>
          </w:rPr>
          <w:t>https://economictimes.indiatimes.com/tech/artificial-intelligence/ai-model-training-on-copyrighted-data-needs-public-review-industry/articleshow/119268063.cms</w:t>
        </w:r>
      </w:hyperlink>
      <w:r>
        <w:t xml:space="preserve"> - The Indian industry has urged the government to review the legality of using copyrighted data for AI training. In submissions to the government on developing AI governance guidelines, the industry suggested amendments to the Copyright Act and clarification of 'fair dealing' exceptions. They also called for guidelines on AI-generated works, privacy, transparency, and regulating deepfakes. The emphasis is on the need for legal certainty to promote AI adoption, highlighting the importance of public consultations in addressing these complex issues.</w:t>
      </w:r>
      <w:r/>
    </w:p>
    <w:p>
      <w:pPr>
        <w:pStyle w:val="ListNumber"/>
        <w:spacing w:line="240" w:lineRule="auto"/>
        <w:ind w:left="720"/>
      </w:pPr>
      <w:r/>
      <w:hyperlink r:id="rId13">
        <w:r>
          <w:rPr>
            <w:color w:val="0000EE"/>
            <w:u w:val="single"/>
          </w:rPr>
          <w:t>https://www.firstpost.com/tech/cannot-delete-training-data-as-indian-courts-have-no-jurisdiction-openai-in-copyright-case-13855857.html</w:t>
        </w:r>
      </w:hyperlink>
      <w:r>
        <w:t xml:space="preserve"> - OpenAI is involved in a legal battle in India after ANI, a leading news agency, accused the company of copyright infringement. ANI claims that OpenAI used its articles to train ChatGPT without permission and is seeking the deletion of the data. OpenAI has stated that it cannot comply with this request due to legal requirements in the United States, where it is bound to keep the training data intact. The company also argues that Indian courts do not have jurisdiction over the case, as its operations and servers are based outside India.</w:t>
      </w:r>
      <w:r/>
    </w:p>
    <w:p>
      <w:pPr>
        <w:pStyle w:val="ListNumber"/>
        <w:spacing w:line="240" w:lineRule="auto"/>
        <w:ind w:left="720"/>
      </w:pPr>
      <w:r/>
      <w:hyperlink r:id="rId14">
        <w:r>
          <w:rPr>
            <w:color w:val="0000EE"/>
            <w:u w:val="single"/>
          </w:rPr>
          <w:t>https://www.hindustantimes.com/india-news/data-for-training-stored-overseas-copyright-law-doesn-t-apply-openai-101743187851378.html</w:t>
        </w:r>
      </w:hyperlink>
      <w:r>
        <w:t xml:space="preserve"> - OpenAI has argued that using ANI's content to train its software does not constitute infringement under the Indian Copyright Act. The company's legal representative contends that the Copyright Act applies only within India, while the data storage and software training for ChatGPT occurred outside India, where such activities are lawful. This argument is central to the ongoing legal proceedings concerning the use of copyrighted material for AI training.</w:t>
      </w:r>
      <w:r/>
    </w:p>
    <w:p>
      <w:pPr>
        <w:pStyle w:val="ListNumber"/>
        <w:spacing w:line="240" w:lineRule="auto"/>
        <w:ind w:left="720"/>
      </w:pPr>
      <w:r/>
      <w:hyperlink r:id="rId12">
        <w:r>
          <w:rPr>
            <w:color w:val="0000EE"/>
            <w:u w:val="single"/>
          </w:rPr>
          <w:t>https://www.theippress.com/2025/04/30/delhi-high-court-considers-copyright-implications-of-chatgpts-ai-training-in-ani-v-openai/</w:t>
        </w:r>
      </w:hyperlink>
      <w:r>
        <w:t xml:space="preserve"> - ANI Media Pvt Ltd filed a copyright infringement lawsuit against OpenAI through the Delhi High Court, accusing OpenAI of illegally training ChatGPT with ANI news material. OpenAI has issued a formal response refuting the claims, denying that its operations come under Indian copyright law because its Large Language Models (LLMs) exclusively train outside Indian borders. The case raises significant questions about the applicability of Indian copyright law to AI training activities conducted outside the country.</w:t>
      </w:r>
      <w:r/>
    </w:p>
    <w:p>
      <w:pPr>
        <w:pStyle w:val="ListNumber"/>
        <w:spacing w:line="240" w:lineRule="auto"/>
        <w:ind w:left="720"/>
      </w:pPr>
      <w:r/>
      <w:hyperlink r:id="rId10">
        <w:r>
          <w:rPr>
            <w:color w:val="0000EE"/>
            <w:u w:val="single"/>
          </w:rPr>
          <w:t>https://www.business-standard.com/india-news/centre-copyright-act-1957-review-generative-content-ai-ownership-lok-sabha-125121700700_1.html</w:t>
        </w:r>
      </w:hyperlink>
      <w:r>
        <w:t xml:space="preserve"> - The Indian government is reviewing the Copyright Act, 1957, to address challenges posed by generative artificial intelligence (AI). The Department for Promotion of Industry and Internal Trade (DPIIT) has established an eight-member expert committee to examine the implications of generative AI on copyright law. The committee's mandate includes analyzing legal and policy challenges arising from AI's use within the copyright framework, assessing the adequacy of existing statutory provisions, and making recommendations for necessary changes. This initiative reflects India's proactive approach to adapting its legal framework to the evolving landscape of AI and copyright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legallive.com/cover-story-articles/il-feature-news/copyright-law-generative-artificial-intelligence-statutory-protection-challenges-problems/" TargetMode="External"/><Relationship Id="rId10" Type="http://schemas.openxmlformats.org/officeDocument/2006/relationships/hyperlink" Target="https://www.business-standard.com/india-news/centre-copyright-act-1957-review-generative-content-ai-ownership-lok-sabha-125121700700_1.html" TargetMode="External"/><Relationship Id="rId11" Type="http://schemas.openxmlformats.org/officeDocument/2006/relationships/hyperlink" Target="https://economictimes.indiatimes.com/tech/artificial-intelligence/ai-model-training-on-copyrighted-data-needs-public-review-industry/articleshow/119268063.cms" TargetMode="External"/><Relationship Id="rId12" Type="http://schemas.openxmlformats.org/officeDocument/2006/relationships/hyperlink" Target="https://www.theippress.com/2025/04/30/delhi-high-court-considers-copyright-implications-of-chatgpts-ai-training-in-ani-v-openai/" TargetMode="External"/><Relationship Id="rId13" Type="http://schemas.openxmlformats.org/officeDocument/2006/relationships/hyperlink" Target="https://www.firstpost.com/tech/cannot-delete-training-data-as-indian-courts-have-no-jurisdiction-openai-in-copyright-case-13855857.html" TargetMode="External"/><Relationship Id="rId14" Type="http://schemas.openxmlformats.org/officeDocument/2006/relationships/hyperlink" Target="https://www.hindustantimes.com/india-news/data-for-training-stored-overseas-copyright-law-doesn-t-apply-openai-101743187851378.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