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Bangladesh Bank accelerates AI regulation and adoption to bridge capability gaps in banking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Experts and senior officials met at the Bangladesh Bank Training Academy in Mirpur on Monday for a seminar titled "Artificial Intelligence: Reshaping Financial Services and Its Regulation," where speakers stressed that rapid AI adoption in banking demands a clear, robust regulatory framework to protect consumers and contain risk. </w:t>
      </w:r>
      <w:hyperlink r:id="rId9">
        <w:r>
          <w:rPr>
            <w:color w:val="0000EE"/>
            <w:u w:val="single"/>
          </w:rPr>
          <w:t>[1]</w:t>
        </w:r>
      </w:hyperlink>
      <w:r/>
    </w:p>
    <w:p>
      <w:r/>
      <w:r>
        <w:t xml:space="preserve">Bangladesh Bank signalled it is moving quickly: the central bank has formed a seven‑member professional AI team and, according to Bangladesh Bank announcements reported in November, aims to roll out a comprehensive AI policy for the banking sector by December that will prioritise data protection, consumer rights and risk management. The plan reportedly includes developing an in‑house large language model to reduce data transfer risks and to support economic forecasting, fraud detection and risk controls. </w:t>
      </w:r>
      <w:hyperlink r:id="rId9">
        <w:r>
          <w:rPr>
            <w:color w:val="0000EE"/>
            <w:u w:val="single"/>
          </w:rPr>
          <w:t>[1]</w:t>
        </w:r>
      </w:hyperlink>
      <w:hyperlink r:id="rId10">
        <w:r>
          <w:rPr>
            <w:color w:val="0000EE"/>
            <w:u w:val="single"/>
          </w:rPr>
          <w:t>[3]</w:t>
        </w:r>
      </w:hyperlink>
      <w:r/>
    </w:p>
    <w:p>
      <w:r/>
      <w:r>
        <w:t xml:space="preserve">Industry participants at the seminar outlined practical roadmaps and early use cases. Pubali Bank’s managing director presented a structured AI strategy tailored to financial services while BBTA speakers reviewed operational adoption. Executives called for pilots to be scaled into enterprise programmes and for stronger ties between regulators, technology users and researchers to ensure usable, enforceable policy. Prof. Dr. B. M. Mainul Hossain of Dhaka University said a "meaningful and structured bond" between regulators, technology users, and researchers is essential for effective policy implementation; other speakers urged that AI be treated as a long‑term strategic capability rather than a series of isolated pilots. </w:t>
      </w:r>
      <w:hyperlink r:id="rId9">
        <w:r>
          <w:rPr>
            <w:color w:val="0000EE"/>
            <w:u w:val="single"/>
          </w:rPr>
          <w:t>[1]</w:t>
        </w:r>
      </w:hyperlink>
      <w:r/>
    </w:p>
    <w:p>
      <w:r/>
      <w:r>
        <w:t xml:space="preserve">The discussion came amid signs that practical uptake remains uneven. A Bangladesh Institute of Bank Management survey found the majority of banks have yet to adopt AI for cybersecurity or disaster recovery planning and that only about one‑third have formal AI adoption policies. Academic research similarly indicates modest penetration of compliance AI tools, with roughly a quarter to a third of professionals reporting adoption or partial adoption for regulatory reporting and compliance tasks. Those findings underline gaps in organisational readiness, skilled personnel and governance that the new central bank initiative seeks to address. </w:t>
      </w:r>
      <w:hyperlink r:id="rId11">
        <w:r>
          <w:rPr>
            <w:color w:val="0000EE"/>
            <w:u w:val="single"/>
          </w:rPr>
          <w:t>[5]</w:t>
        </w:r>
      </w:hyperlink>
      <w:hyperlink r:id="rId12">
        <w:r>
          <w:rPr>
            <w:color w:val="0000EE"/>
            <w:u w:val="single"/>
          </w:rPr>
          <w:t>[6]</w:t>
        </w:r>
      </w:hyperlink>
      <w:r/>
    </w:p>
    <w:p>
      <w:r/>
      <w:r>
        <w:t xml:space="preserve">Regulators elsewhere offer models and cautionary examples. European frameworks such as the EU’s AI Act, which categorises systems by risk and sets requirements for developers and deployers, illustrate one approach to harmonising safety and accountability across financial services. Domestically, regulators have already used AI in targeted supervision: Bangladesh Bank instructed banks in May to step up surveillance of online‑gambling transactions using AI tools, dovetailing with the Cyber Security Ordinance, 2025, which bans online gambling. Separately, private banks have begun deploying AI in compliance: NRBC Bank used AI technology in a hybrid AML/CFT conference to strengthen institutional capacity. Together these moves show both regulatory direction and experimental deployments that the central bank’s policy will need to reconcile. </w:t>
      </w:r>
      <w:hyperlink r:id="rId13">
        <w:r>
          <w:rPr>
            <w:color w:val="0000EE"/>
            <w:u w:val="single"/>
          </w:rPr>
          <w:t>[7]</w:t>
        </w:r>
      </w:hyperlink>
      <w:hyperlink r:id="rId14">
        <w:r>
          <w:rPr>
            <w:color w:val="0000EE"/>
            <w:u w:val="single"/>
          </w:rPr>
          <w:t>[2]</w:t>
        </w:r>
      </w:hyperlink>
      <w:hyperlink r:id="rId15">
        <w:r>
          <w:rPr>
            <w:color w:val="0000EE"/>
            <w:u w:val="single"/>
          </w:rPr>
          <w:t>[4]</w:t>
        </w:r>
      </w:hyperlink>
      <w:r/>
    </w:p>
    <w:p>
      <w:r/>
      <w:r>
        <w:t xml:space="preserve">Speakers at the BBTA seminar emphasised that successful AI integration will depend on better data, trained human resources, stronger cybersecurity and systems that can be explained to both supervisors and customers. Md. Hanif Mia, Executive Director of BBTA, presided over the seminar and warned that without proper oversight AI risks amplifying harms as well as efficiencies; he urged banks to move beyond pilots to build durable capabilities founded on accurate data, skilled staff, robust cybersecurity and explainable systems. </w:t>
      </w:r>
      <w:hyperlink r:id="rId9">
        <w:r>
          <w:rPr>
            <w:color w:val="0000EE"/>
            <w:u w:val="single"/>
          </w:rPr>
          <w:t>[1]</w:t>
        </w:r>
      </w:hyperlink>
      <w:r/>
    </w:p>
    <w:p>
      <w:r/>
      <w:r>
        <w:t xml:space="preserve">If implemented as described, Bangladesh Bank’s policy could narrow current capability gaps and set sectoral standards for ethical, safe AI use. Observers say that delivering on that promise will require sustained engagement from banks, technology providers, researchers and government agencies to translate high‑level commitments into enforceable controls and measurable outcomes. </w:t>
      </w:r>
      <w:hyperlink r:id="rId10">
        <w:r>
          <w:rPr>
            <w:color w:val="0000EE"/>
            <w:u w:val="single"/>
          </w:rPr>
          <w:t>[3]</w:t>
        </w:r>
      </w:hyperlink>
      <w:hyperlink r:id="rId9">
        <w:r>
          <w:rPr>
            <w:color w:val="0000EE"/>
            <w:u w:val="single"/>
          </w:rPr>
          <w:t>[1]</w:t>
        </w:r>
      </w:hyperlink>
      <w:hyperlink r:id="rId12">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(Bangladesh Sangbad Sangstha) - Paragraph 1, Paragraph 2, Paragraph 3, Paragraph 6, Paragraph 7 </w:t>
      </w:r>
      <w:r/>
    </w:p>
    <w:p>
      <w:pPr>
        <w:pStyle w:val="ListBullet"/>
        <w:spacing w:line="240" w:lineRule="auto"/>
        <w:ind w:left="720"/>
      </w:pPr>
      <w:r/>
      <w:hyperlink r:id="rId10">
        <w:r>
          <w:rPr>
            <w:color w:val="0000EE"/>
            <w:u w:val="single"/>
          </w:rPr>
          <w:t>[3]</w:t>
        </w:r>
      </w:hyperlink>
      <w:r>
        <w:t xml:space="preserve"> (The Business Standard) - Paragraph 2, Paragraph 7 </w:t>
      </w:r>
      <w:r/>
    </w:p>
    <w:p>
      <w:pPr>
        <w:pStyle w:val="ListBullet"/>
        <w:spacing w:line="240" w:lineRule="auto"/>
        <w:ind w:left="720"/>
      </w:pPr>
      <w:r/>
      <w:hyperlink r:id="rId11">
        <w:r>
          <w:rPr>
            <w:color w:val="0000EE"/>
            <w:u w:val="single"/>
          </w:rPr>
          <w:t>[5]</w:t>
        </w:r>
      </w:hyperlink>
      <w:r>
        <w:t xml:space="preserve"> (The Financial Express) - Paragraph 4 </w:t>
      </w:r>
      <w:r/>
    </w:p>
    <w:p>
      <w:pPr>
        <w:pStyle w:val="ListBullet"/>
        <w:spacing w:line="240" w:lineRule="auto"/>
        <w:ind w:left="720"/>
      </w:pPr>
      <w:r/>
      <w:hyperlink r:id="rId12">
        <w:r>
          <w:rPr>
            <w:color w:val="0000EE"/>
            <w:u w:val="single"/>
          </w:rPr>
          <w:t>[6]</w:t>
        </w:r>
      </w:hyperlink>
      <w:r>
        <w:t xml:space="preserve"> (American Journal of Economics and Business Innovation) - Paragraph 4, Paragraph 7 </w:t>
      </w:r>
      <w:r/>
    </w:p>
    <w:p>
      <w:pPr>
        <w:pStyle w:val="ListBullet"/>
        <w:spacing w:line="240" w:lineRule="auto"/>
        <w:ind w:left="720"/>
      </w:pPr>
      <w:r/>
      <w:hyperlink r:id="rId13">
        <w:r>
          <w:rPr>
            <w:color w:val="0000EE"/>
            <w:u w:val="single"/>
          </w:rPr>
          <w:t>[7]</w:t>
        </w:r>
      </w:hyperlink>
      <w:r>
        <w:t xml:space="preserve"> (Latvijas Banka) - Paragraph 5 </w:t>
      </w:r>
      <w:r/>
    </w:p>
    <w:p>
      <w:pPr>
        <w:pStyle w:val="ListBullet"/>
        <w:spacing w:line="240" w:lineRule="auto"/>
        <w:ind w:left="720"/>
      </w:pPr>
      <w:r/>
      <w:hyperlink r:id="rId14">
        <w:r>
          <w:rPr>
            <w:color w:val="0000EE"/>
            <w:u w:val="single"/>
          </w:rPr>
          <w:t>[2]</w:t>
        </w:r>
      </w:hyperlink>
      <w:r>
        <w:t xml:space="preserve"> (The Business Standard) - Paragraph 5 </w:t>
      </w:r>
      <w:r/>
    </w:p>
    <w:p>
      <w:pPr>
        <w:pStyle w:val="ListBullet"/>
        <w:spacing w:line="240" w:lineRule="auto"/>
        <w:ind w:left="720"/>
      </w:pPr>
      <w:r/>
      <w:hyperlink r:id="rId15">
        <w:r>
          <w:rPr>
            <w:color w:val="0000EE"/>
            <w:u w:val="single"/>
          </w:rPr>
          <w:t>[4]</w:t>
        </w:r>
      </w:hyperlink>
      <w:r>
        <w:t xml:space="preserve"> (The Business Standard)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https://www.bssnews.net/business/344512</w:t>
        </w:r>
      </w:hyperlink>
      <w:r>
        <w:t xml:space="preserve"> - Please view link - unable to able to access data</w:t>
      </w:r>
      <w:r/>
    </w:p>
    <w:p>
      <w:pPr>
        <w:pStyle w:val="ListNumber"/>
        <w:spacing w:line="240" w:lineRule="auto"/>
        <w:ind w:left="720"/>
      </w:pPr>
      <w:r/>
      <w:hyperlink r:id="rId14">
        <w:r>
          <w:rPr>
            <w:color w:val="0000EE"/>
            <w:u w:val="single"/>
          </w:rPr>
          <w:t>https://www.tbsnews.net/economy/banking/bangladesh-bank-instructs-banks-use-ai-against-online-gambling-1154086</w:t>
        </w:r>
      </w:hyperlink>
      <w:r>
        <w:t xml:space="preserve"> - In May 2025, Bangladesh Bank directed all banks and financial institutions to enhance surveillance of online gambling transactions, recommending the use of Artificial Intelligence (AI) technology for this purpose. The directive emphasized the need for immediate action against suspected online gambling activities and the prompt notification of law enforcement agencies. Additionally, banks were urged to raise customer awareness about the detrimental effects of online gambling. This initiative aligns with the newly enacted Cyber Security Ordinance, 2025, which bans all forms of online gambling in the country.</w:t>
      </w:r>
      <w:r/>
    </w:p>
    <w:p>
      <w:pPr>
        <w:pStyle w:val="ListNumber"/>
        <w:spacing w:line="240" w:lineRule="auto"/>
        <w:ind w:left="720"/>
      </w:pPr>
      <w:r/>
      <w:hyperlink r:id="rId10">
        <w:r>
          <w:rPr>
            <w:color w:val="0000EE"/>
            <w:u w:val="single"/>
          </w:rPr>
          <w:t>https://www.tbsnews.net/economy/banking/bangladesh-bank-set-introduce-ai-policy-banking-sector-december-1279131</w:t>
        </w:r>
      </w:hyperlink>
      <w:r>
        <w:t xml:space="preserve"> - In November 2025, Bangladesh Bank announced plans to introduce a comprehensive policy for the use of Artificial Intelligence (AI) in the banking sector by December. A seven-member special working team was formed to draft and implement the policy, aiming to ensure safe, ethical, and regulated AI usage. The policy includes developing an in-house large language model to mitigate data transfer risks and enhance economic forecasting capabilities, fraud detection, and risk management within the banking sector.</w:t>
      </w:r>
      <w:r/>
    </w:p>
    <w:p>
      <w:pPr>
        <w:pStyle w:val="ListNumber"/>
        <w:spacing w:line="240" w:lineRule="auto"/>
        <w:ind w:left="720"/>
      </w:pPr>
      <w:r/>
      <w:hyperlink r:id="rId15">
        <w:r>
          <w:rPr>
            <w:color w:val="0000EE"/>
            <w:u w:val="single"/>
          </w:rPr>
          <w:t>https://www.tbsnews.net/economy/corporates/nrbc-bank-holds-aml-cft-conference-using-ai-technology-1314566</w:t>
        </w:r>
      </w:hyperlink>
      <w:r>
        <w:t xml:space="preserve"> - In December 2025, NRBC Bank organized the 'AML and CFT Conference 2025,' marking its first use of Artificial Intelligence (AI) technology to enhance institutional capacity and awareness in preventing money laundering and terrorist financing. The conference was held in a hybrid format, with officials participating both physically and through an AI-powered online platform. The event featured discussions on the integration of AI in compliance and regulatory reporting within the banking sector.</w:t>
      </w:r>
      <w:r/>
    </w:p>
    <w:p>
      <w:pPr>
        <w:pStyle w:val="ListNumber"/>
        <w:spacing w:line="240" w:lineRule="auto"/>
        <w:ind w:left="720"/>
      </w:pPr>
      <w:r/>
      <w:hyperlink r:id="rId11">
        <w:r>
          <w:rPr>
            <w:color w:val="0000EE"/>
            <w:u w:val="single"/>
          </w:rPr>
          <w:t>https://today.thefinancialexpress.com.bd/print/majority-of-banks-yet-to-adopt-ai-in-cybersecurity-bibm-1761157145</w:t>
        </w:r>
      </w:hyperlink>
      <w:r>
        <w:t xml:space="preserve"> - A survey by the Bangladesh Institute of Bank Management (BIBM) revealed that a significant majority of banks in Bangladesh have yet to adopt Artificial Intelligence (AI) in their cybersecurity operations. The survey indicated that 95% of institutions do not use AI for disaster recovery planning, relying instead on traditional methods. Additionally, only 32% of banks have a formal AI adoption policy for banking, highlighting a substantial gap in strategic governance and risk management related to AI deployment in the banking sector.</w:t>
      </w:r>
      <w:r/>
    </w:p>
    <w:p>
      <w:pPr>
        <w:pStyle w:val="ListNumber"/>
        <w:spacing w:line="240" w:lineRule="auto"/>
        <w:ind w:left="720"/>
      </w:pPr>
      <w:r/>
      <w:hyperlink r:id="rId12">
        <w:r>
          <w:rPr>
            <w:color w:val="0000EE"/>
            <w:u w:val="single"/>
          </w:rPr>
          <w:t>https://journals.e-palli.com/home/index.php/ajebi/article/view/5586</w:t>
        </w:r>
      </w:hyperlink>
      <w:r>
        <w:t xml:space="preserve"> - A study published in the American Journal of Economics and Business Innovation examined the prospects and challenges of implementing Artificial Intelligence (AI) in automating compliance and regulatory reporting within Bangladesh's banking sector. The research found that 28% of banking professionals have adopted or partially adopted AI tools for compliance purposes. The study highlights the potential benefits of AI in enhancing efficiency and accuracy in compliance processes, while also addressing the risks and organizational readiness required for successful implementation.</w:t>
      </w:r>
      <w:r/>
    </w:p>
    <w:p>
      <w:pPr>
        <w:pStyle w:val="ListNumber"/>
        <w:spacing w:line="240" w:lineRule="auto"/>
        <w:ind w:left="720"/>
      </w:pPr>
      <w:r/>
      <w:hyperlink r:id="rId13">
        <w:r>
          <w:rPr>
            <w:color w:val="0000EE"/>
            <w:u w:val="single"/>
          </w:rPr>
          <w:t>https://www.bank.lv/en/operational-areas/supervision/regulating-artificial-intelligence-in-the-financial-sector</w:t>
        </w:r>
      </w:hyperlink>
      <w:r>
        <w:t xml:space="preserve"> - Latvijas Banka discusses the European Union's Artificial Intelligence Act (AI Act), which took effect on 1 August 2024. The AI Act establishes a comprehensive framework for AI usage across various sectors, including financial services, within EU member states. It categorizes AI systems based on risk levels and outlines requirements for developers, deployers, and users, aiming to harmonize rules and ensure ethical and safe AI deployment in the financial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ssnews.net/business/344512" TargetMode="External"/><Relationship Id="rId10" Type="http://schemas.openxmlformats.org/officeDocument/2006/relationships/hyperlink" Target="https://www.tbsnews.net/economy/banking/bangladesh-bank-set-introduce-ai-policy-banking-sector-december-1279131" TargetMode="External"/><Relationship Id="rId11" Type="http://schemas.openxmlformats.org/officeDocument/2006/relationships/hyperlink" Target="https://today.thefinancialexpress.com.bd/print/majority-of-banks-yet-to-adopt-ai-in-cybersecurity-bibm-1761157145" TargetMode="External"/><Relationship Id="rId12" Type="http://schemas.openxmlformats.org/officeDocument/2006/relationships/hyperlink" Target="https://journals.e-palli.com/home/index.php/ajebi/article/view/5586" TargetMode="External"/><Relationship Id="rId13" Type="http://schemas.openxmlformats.org/officeDocument/2006/relationships/hyperlink" Target="https://www.bank.lv/en/operational-areas/supervision/regulating-artificial-intelligence-in-the-financial-sector" TargetMode="External"/><Relationship Id="rId14" Type="http://schemas.openxmlformats.org/officeDocument/2006/relationships/hyperlink" Target="https://www.tbsnews.net/economy/banking/bangladesh-bank-instructs-banks-use-ai-against-online-gambling-1154086" TargetMode="External"/><Relationship Id="rId15" Type="http://schemas.openxmlformats.org/officeDocument/2006/relationships/hyperlink" Target="https://www.tbsnews.net/economy/corporates/nrbc-bank-holds-aml-cft-conference-using-ai-technology-131456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