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Salesforce’s 2026 outlook hinges on proving deterministic AI reliability amid agentic growth and platform transitions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Salesforce is entering 2026 with its stock and strategy split between two competing narratives: genuine commercial momentum behind Agentforce and Data 360, and a sharper industry debate over whether large language models (LLMs) can reliably “run the business” without deterministic guardrails. The market snapshot on December 24, 2025 showed CRM trading near $266, roughly 21% below its 2025 high after a volatile year that ranged from a $367.09 peak on January 28 to a $221.96 low on November 21, and a market capitalisation near $246 billion. </w:t>
      </w:r>
      <w:hyperlink r:id="rId9">
        <w:r>
          <w:rPr>
            <w:color w:val="0000EE"/>
            <w:u w:val="single"/>
          </w:rPr>
          <w:t>[1]</w:t>
        </w:r>
      </w:hyperlink>
      <w:hyperlink r:id="rId10">
        <w:r>
          <w:rPr>
            <w:color w:val="0000EE"/>
            <w:u w:val="single"/>
          </w:rPr>
          <w:t>[3]</w:t>
        </w:r>
      </w:hyperlink>
      <w:hyperlink r:id="rId9">
        <w:r>
          <w:rPr>
            <w:color w:val="0000EE"/>
            <w:u w:val="single"/>
          </w:rPr>
          <w:t>[1]</w:t>
        </w:r>
      </w:hyperlink>
      <w:r/>
    </w:p>
    <w:p>
      <w:r/>
      <w:r>
        <w:t xml:space="preserve">The most tangible grounding for both bulls and skeptics remains Salesforce’s Q3 fiscal 2026 results, reported on December 3, 2025. The company posted $10.3 billion of revenue (up 9% year‑on‑year), subscription and support revenue of $9.7 billion (+10% YoY), cRPO of $29.4 billion (+11% YoY) and RPO of $59.5 billion (+12% YoY), alongside a non‑GAAP operating margin of 35.5% and $4.2 billion returned to shareholders. Salesforce also lifted full‑year FY26 revenue guidance to $41.45bn–$41.55bn. These metrics frame the debate: can Salesforce sustain mid‑to‑high single‑digit growth with margin expansion while layering reliable AI monetisation on top? </w:t>
      </w:r>
      <w:hyperlink r:id="rId10">
        <w:r>
          <w:rPr>
            <w:color w:val="0000EE"/>
            <w:u w:val="single"/>
          </w:rPr>
          <w:t>[3]</w:t>
        </w:r>
      </w:hyperlink>
      <w:hyperlink r:id="rId9">
        <w:r>
          <w:rPr>
            <w:color w:val="0000EE"/>
            <w:u w:val="single"/>
          </w:rPr>
          <w:t>[1]</w:t>
        </w:r>
      </w:hyperlink>
      <w:r/>
    </w:p>
    <w:p>
      <w:r/>
      <w:r>
        <w:t xml:space="preserve">Agentforce and Data 360 have become the explicit commercial fulcrum of that pitch. Salesforce disclosed Agentforce + Data 360 ARR of nearly $1.4 billion (up 114% YoY), with Agentforce alone surpassing "half a billion" ARR after 330% year‑on‑year growth in Q3, more than 9,500 paid Agentforce deals and a reported 3.2 trillion tokens processed through its LLM gateway. Those adoption figures underpin bullish analyst commentary that the market may be overly pessimistic on CRM’s growth trajectory.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Yet the same December 24 coverage that celebrated ARR milestones also amplified questions about reliability and governance. A Moneycontrol report cited Salesforce re‑evaluating heavy reliance on generative LLM outputs inside Agentforce and emphasised the company’s shift toward more deterministic automation to ensure consistent business outcomes. The report quoted a Salesforce spokesperson warning that LLMs alone are insufficient to run business processes without accurate data, business logic and governance. Practical examples, such as deterministic triggers used by customers to guarantee routine actions, illustrate why predictable behaviour matters to enterprise buyers. </w:t>
      </w:r>
      <w:hyperlink r:id="rId9">
        <w:r>
          <w:rPr>
            <w:color w:val="0000EE"/>
            <w:u w:val="single"/>
          </w:rPr>
          <w:t>[1]</w:t>
        </w:r>
      </w:hyperlink>
      <w:r/>
    </w:p>
    <w:p>
      <w:r/>
      <w:r>
        <w:t xml:space="preserve">Salesforce has moved deliberately to address that “data‑to‑AI” gap through acquisitions and platform engineering. The company completed its acquisition of Informatica on November 18, 2025, integrating Informatica’s data catalog, integration, governance, privacy and metadata capabilities as a foundation for governed, AI‑ready enterprise data. According to the company announcement, Marc Benioff said that “without it, there is no intelligence, only hallucination,” framing the deal as essential to enable AI agents to operate safely and at scale. Industry reporting noted the Informatica deal was pitched as particularly important for regulated sectors and high‑value public‑sector deployments. </w:t>
      </w:r>
      <w:hyperlink r:id="rId12">
        <w:r>
          <w:rPr>
            <w:color w:val="0000EE"/>
            <w:u w:val="single"/>
          </w:rPr>
          <w:t>[2]</w:t>
        </w:r>
      </w:hyperlink>
      <w:hyperlink r:id="rId13">
        <w:r>
          <w:rPr>
            <w:color w:val="0000EE"/>
            <w:u w:val="single"/>
          </w:rPr>
          <w:t>[4]</w:t>
        </w:r>
      </w:hyperlink>
      <w:hyperlink r:id="rId12">
        <w:r>
          <w:rPr>
            <w:color w:val="0000EE"/>
            <w:u w:val="single"/>
          </w:rPr>
          <w:t>[2]</w:t>
        </w:r>
      </w:hyperlink>
      <w:r/>
    </w:p>
    <w:p>
      <w:r/>
      <w:r>
        <w:t xml:space="preserve">Salesforce’s inorganic moves extend beyond data: the proposed Qualified acquisition, announced in mid‑December, targets agentic marketing use cases intended to convert inbound engagement into measurable pipeline. Salesforce has presented the two deals as complementary, Informatica to secure trustworthy data and Qualified to broaden Agentforce monetisation into marketing motions, each intended to make AI outcomes more measurable for CFOs and procurement teams. Execution and integration timelines, particularly around Informatica and Qualified, will therefore be watched closely by investors. </w:t>
      </w:r>
      <w:hyperlink r:id="rId9">
        <w:r>
          <w:rPr>
            <w:color w:val="0000EE"/>
            <w:u w:val="single"/>
          </w:rPr>
          <w:t>[1]</w:t>
        </w:r>
      </w:hyperlink>
      <w:hyperlink r:id="rId12">
        <w:r>
          <w:rPr>
            <w:color w:val="0000EE"/>
            <w:u w:val="single"/>
          </w:rPr>
          <w:t>[2]</w:t>
        </w:r>
      </w:hyperlink>
      <w:r/>
    </w:p>
    <w:p>
      <w:r/>
      <w:r>
        <w:t xml:space="preserve">Wall Street reaction on December 24 illustrated the range of beliefs about how that execution will play out. Some firms retained bullish ratings and eye‑watering price targets, Truist reiterated a Buy with a $380 target after customer events signalling adoption, while outlets such as Barron’s sketched an upside scenario contingent on both margin improvement and sustained Agentforce uptake. At the same time, consensus analyst ranges remain wide, with platform aggregators showing forecasts from the low $200s to the mid $400s, underscoring that 2026 outcomes are highly sensitivity‑dependent. </w:t>
      </w:r>
      <w:hyperlink r:id="rId9">
        <w:r>
          <w:rPr>
            <w:color w:val="0000EE"/>
            <w:u w:val="single"/>
          </w:rPr>
          <w:t>[1]</w:t>
        </w:r>
      </w:hyperlink>
      <w:r/>
    </w:p>
    <w:p>
      <w:r/>
      <w:r>
        <w:t xml:space="preserve">Quantitative and model‑based forecasts add another layer of noise: algorithmic projections published on December 24 suggested scenarios where CRM could revisit mid‑$220s in early 2026. Market participants typically treat those as sentiment or volatility indicators rather than deep product‑level valuations, because they rarely incorporate contract economics, attach rates, or synergies from recent acquisitions. That divergence helps explain why headline price targets can look contradictory on the same day. </w:t>
      </w:r>
      <w:hyperlink r:id="rId9">
        <w:r>
          <w:rPr>
            <w:color w:val="0000EE"/>
            <w:u w:val="single"/>
          </w:rPr>
          <w:t>[1]</w:t>
        </w:r>
      </w:hyperlink>
      <w:r/>
    </w:p>
    <w:p>
      <w:r/>
      <w:r>
        <w:t xml:space="preserve">For investors the practical watchlist is straightforward: monitor RPO and cRPO growth for forward demand, the quality of Agentforce monetisation (ARR progression and expansion within the installed base), evidence that AI reliability and governance produce repeatable ROI for enterprise customers, successful Informatica integration, and the timing and strategic fit of the Qualified acquisition. If Agentforce moves from pilots to scaled, measurable production with governed outcomes, the valuation gap narrows; if customers demand more deterministic, data‑centred automation, Salesforce’s recent moves give it a credible path to meet that requirement, provided execution holds. </w:t>
      </w:r>
      <w:hyperlink r:id="rId9">
        <w:r>
          <w:rPr>
            <w:color w:val="0000EE"/>
            <w:u w:val="single"/>
          </w:rPr>
          <w:t>[1]</w:t>
        </w:r>
      </w:hyperlink>
      <w:r/>
    </w:p>
    <w:p>
      <w:r/>
      <w:r>
        <w:t xml:space="preserve">On December 24, 2025 the market is pricing Salesforce at the intersection of an improving cash and margin story and a platform transition that must prove its enterprise reliability. The bullish thesis rests on Agentforce momentum and margin expansion; the cautious thesis stresses that enterprise AI must be deterministic, governed and data‑connected to win at scale. 2026 looks set to be a proof year for whether Salesforce can turn agentic AI traction into predictable, measurable revenue growth. This article is for informational purposes only and does not constitute investment advice.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(ts2.tech) - Paragraph 1, Paragraph 3, Paragraph 4, Paragraph 7, Paragraph 8, Paragraph 9, Paragraph 10</w:t>
      </w:r>
      <w:r/>
    </w:p>
    <w:p>
      <w:pPr>
        <w:pStyle w:val="ListBullet"/>
        <w:spacing w:line="240" w:lineRule="auto"/>
        <w:ind w:left="720"/>
      </w:pPr>
      <w:r/>
      <w:hyperlink r:id="rId10">
        <w:r>
          <w:rPr>
            <w:color w:val="0000EE"/>
            <w:u w:val="single"/>
          </w:rPr>
          <w:t>[3]</w:t>
        </w:r>
      </w:hyperlink>
      <w:r>
        <w:t xml:space="preserve"> (salesforce.com Q3 FY26 earnings) - Paragraph 1, Paragraph 2, Paragraph 3</w:t>
      </w:r>
      <w:r/>
    </w:p>
    <w:p>
      <w:pPr>
        <w:pStyle w:val="ListBullet"/>
        <w:spacing w:line="240" w:lineRule="auto"/>
        <w:ind w:left="720"/>
      </w:pPr>
      <w:r/>
      <w:hyperlink r:id="rId12">
        <w:r>
          <w:rPr>
            <w:color w:val="0000EE"/>
            <w:u w:val="single"/>
          </w:rPr>
          <w:t>[2]</w:t>
        </w:r>
      </w:hyperlink>
      <w:r>
        <w:t xml:space="preserve"> (salesforce.com Informatica press release) - Paragraph 5, Paragraph 6</w:t>
      </w:r>
      <w:r/>
    </w:p>
    <w:p>
      <w:pPr>
        <w:pStyle w:val="ListBullet"/>
        <w:spacing w:line="240" w:lineRule="auto"/>
        <w:ind w:left="720"/>
      </w:pPr>
      <w:r/>
      <w:r>
        <w:t>(moneycontrol.com) - Paragraph 4</w:t>
      </w:r>
      <w:r/>
    </w:p>
    <w:p>
      <w:pPr>
        <w:pStyle w:val="ListBullet"/>
        <w:spacing w:line="240" w:lineRule="auto"/>
        <w:ind w:left="720"/>
      </w:pPr>
      <w:r/>
      <w:r>
        <w:t>(moneycontrol.com) - Paragraph 4</w:t>
      </w:r>
      <w:r/>
    </w:p>
    <w:p>
      <w:pPr>
        <w:pStyle w:val="ListBullet"/>
        <w:spacing w:line="240" w:lineRule="auto"/>
        <w:ind w:left="720"/>
      </w:pPr>
      <w:r/>
      <w:hyperlink r:id="rId13">
        <w:r>
          <w:rPr>
            <w:color w:val="0000EE"/>
            <w:u w:val="single"/>
          </w:rPr>
          <w:t>[4]</w:t>
        </w:r>
      </w:hyperlink>
      <w:r>
        <w:t xml:space="preserve"> (AP News) - Paragraph 5</w:t>
      </w:r>
      <w:r/>
    </w:p>
    <w:p>
      <w:pPr>
        <w:pStyle w:val="ListBullet"/>
        <w:spacing w:line="240" w:lineRule="auto"/>
        <w:ind w:left="720"/>
      </w:pPr>
      <w:r/>
      <w:hyperlink r:id="rId11">
        <w:r>
          <w:rPr>
            <w:color w:val="0000EE"/>
            <w:u w:val="single"/>
          </w:rPr>
          <w:t>[6]</w:t>
        </w:r>
      </w:hyperlink>
      <w:r>
        <w:t xml:space="preserve"> (itpro.com) - Paragraph 3</w:t>
      </w:r>
      <w:r/>
    </w:p>
    <w:p>
      <w:pPr>
        <w:pStyle w:val="ListBullet"/>
        <w:spacing w:line="240" w:lineRule="auto"/>
        <w:ind w:left="720"/>
      </w:pPr>
      <w:r/>
      <w:r>
        <w:t>(salesforce.com Qualified announcement) - Paragraph 6</w:t>
      </w:r>
      <w:r/>
    </w:p>
    <w:p>
      <w:pPr>
        <w:pStyle w:val="ListBullet"/>
        <w:spacing w:line="240" w:lineRule="auto"/>
        <w:ind w:left="720"/>
      </w:pPr>
      <w:r/>
      <w:r>
        <w:t>(insidermonkey.com / Truist note) - Paragraph 7</w:t>
      </w:r>
      <w:r/>
    </w:p>
    <w:p>
      <w:pPr>
        <w:pStyle w:val="ListBullet"/>
        <w:spacing w:line="240" w:lineRule="auto"/>
        <w:ind w:left="720"/>
      </w:pPr>
      <w:r/>
      <w:r>
        <w:t>(Barron's) - Paragraph 7</w:t>
      </w:r>
      <w:r/>
    </w:p>
    <w:p>
      <w:pPr>
        <w:pStyle w:val="ListBullet"/>
        <w:spacing w:line="240" w:lineRule="auto"/>
        <w:ind w:left="720"/>
      </w:pPr>
      <w:r/>
      <w:r>
        <w:t>(tradingview.com aggregator) - Paragraph 7</w:t>
      </w:r>
      <w:r/>
    </w:p>
    <w:p>
      <w:pPr>
        <w:pStyle w:val="ListBullet"/>
        <w:spacing w:line="240" w:lineRule="auto"/>
        <w:ind w:left="720"/>
      </w:pPr>
      <w:r/>
      <w:r>
        <w:t>(coincodex.com model forecast) - Paragraph 8</w:t>
      </w:r>
      <w:r/>
    </w:p>
    <w:p>
      <w:pPr>
        <w:pStyle w:val="ListBullet"/>
        <w:spacing w:line="240" w:lineRule="auto"/>
        <w:ind w:left="720"/>
      </w:pPr>
      <w:r/>
      <w:r>
        <w:t>(salesforce.com investor materials) - Paragraph 9</w:t>
      </w:r>
      <w:r/>
    </w:p>
    <w:p>
      <w:pPr>
        <w:pStyle w:val="ListBullet"/>
        <w:spacing w:line="240" w:lineRule="auto"/>
        <w:ind w:left="720"/>
      </w:pPr>
      <w:r/>
      <w:r>
        <w:t>(salesforce.com investor materials) - Paragraph 9</w:t>
      </w:r>
      <w:r/>
    </w:p>
    <w:p>
      <w:pPr>
        <w:pStyle w:val="ListBullet"/>
        <w:spacing w:line="240" w:lineRule="auto"/>
        <w:ind w:left="720"/>
      </w:pPr>
      <w:r/>
      <w:r>
        <w:t>(moneycontrol.com) - Paragraph 9</w:t>
      </w:r>
      <w:r/>
    </w:p>
    <w:p>
      <w:pPr>
        <w:pStyle w:val="ListBullet"/>
        <w:spacing w:line="240" w:lineRule="auto"/>
        <w:ind w:left="720"/>
      </w:pPr>
      <w:r/>
      <w:r>
        <w:t>(salesforce.com press materials) - Paragraph 9</w:t>
      </w:r>
      <w:r/>
    </w:p>
    <w:p>
      <w:pPr>
        <w:pStyle w:val="ListBullet"/>
        <w:spacing w:line="240" w:lineRule="auto"/>
        <w:ind w:left="720"/>
      </w:pPr>
      <w:r/>
      <w:r>
        <w:t>(salesforce.com press materials) - Paragraph 9</w:t>
      </w:r>
      <w:r/>
    </w:p>
    <w:p>
      <w:pPr>
        <w:pStyle w:val="ListBullet"/>
        <w:spacing w:line="240" w:lineRule="auto"/>
        <w:ind w:left="720"/>
      </w:pPr>
      <w:r/>
      <w:r>
        <w:t>(Barron's) - Paragraph 10</w:t>
      </w:r>
      <w:r/>
    </w:p>
    <w:p>
      <w:pPr>
        <w:pStyle w:val="ListBullet"/>
        <w:spacing w:line="240" w:lineRule="auto"/>
        <w:ind w:left="720"/>
      </w:pPr>
      <w:r/>
      <w:r>
        <w:t>(moneycontrol.com) - Paragraph 10</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https://ts2.tech/en/salesforce-crm-stock-news-today-agentforce-momentum-ai-reliability-questions-and-updated-wall-street-forecasts-dec-24-2025/</w:t>
        </w:r>
      </w:hyperlink>
      <w:r>
        <w:t xml:space="preserve"> - Please view link - unable to able to access data</w:t>
      </w:r>
      <w:r/>
    </w:p>
    <w:p>
      <w:pPr>
        <w:pStyle w:val="ListNumber"/>
        <w:spacing w:line="240" w:lineRule="auto"/>
        <w:ind w:left="720"/>
      </w:pPr>
      <w:r/>
      <w:hyperlink r:id="rId12">
        <w:r>
          <w:rPr>
            <w:color w:val="0000EE"/>
            <w:u w:val="single"/>
          </w:rPr>
          <w:t>https://www.salesforce.com/news/press-releases/2025/11/18/salesforce-completes-acquisition-of-informatica/</w:t>
        </w:r>
      </w:hyperlink>
      <w:r>
        <w:t xml:space="preserve"> - On November 18, 2025, Salesforce completed its acquisition of Informatica, a leader in enterprise AI-powered cloud data management. This acquisition integrates Informatica's data catalog, integration, governance, quality, privacy, metadata management, and Master Data Management services into Salesforce's platform, establishing a unified data foundation for agentic AI. Marc Benioff, Chair and CEO of Salesforce, emphasized the importance of clean, connected, trusted data for AI success, stating that without it, there is no intelligence—only hallucination. The acquisition aims to enable AI agents to operate safely, responsibly, and at scale across the modern enterprise.</w:t>
      </w:r>
      <w:r/>
    </w:p>
    <w:p>
      <w:pPr>
        <w:pStyle w:val="ListNumber"/>
        <w:spacing w:line="240" w:lineRule="auto"/>
        <w:ind w:left="720"/>
      </w:pPr>
      <w:r/>
      <w:hyperlink r:id="rId10">
        <w:r>
          <w:rPr>
            <w:color w:val="0000EE"/>
            <w:u w:val="single"/>
          </w:rPr>
          <w:t>https://www.salesforce.com/news/press-releases/2025/12/03/fy26-q3-earnings/</w:t>
        </w:r>
      </w:hyperlink>
      <w:r>
        <w:t xml:space="preserve"> - Salesforce reported record third-quarter fiscal 2026 results for the period ending October 31, 2025. The company achieved revenue of $10.3 billion, a 9% increase year-over-year, with subscription and support revenue reaching $9.7 billion, up 10% year-over-year. The current remaining performance obligation (cRPO) stood at $29.4 billion, up 11% year-over-year, and the remaining performance obligation (RPO) was $59.5 billion, up 12% year-over-year. Non-GAAP operating margin was 35.5%. Salesforce returned $4.2 billion to shareholders, including $3.8 billion in share repurchases and $395 million in dividends. The company raised its full-year fiscal 2026 revenue guidance to $41.45 billion to $41.55 billion, up 9%–10% year-over-year.</w:t>
      </w:r>
      <w:r/>
    </w:p>
    <w:p>
      <w:pPr>
        <w:pStyle w:val="ListNumber"/>
        <w:spacing w:line="240" w:lineRule="auto"/>
        <w:ind w:left="720"/>
      </w:pPr>
      <w:r/>
      <w:hyperlink r:id="rId13">
        <w:r>
          <w:rPr>
            <w:color w:val="0000EE"/>
            <w:u w:val="single"/>
          </w:rPr>
          <w:t>https://www.apnews.com/article/bca8e785b46794ad719d51cbca78161a</w:t>
        </w:r>
      </w:hyperlink>
      <w:r>
        <w:t xml:space="preserve"> - In May 2025, Salesforce announced its acquisition of Informatica, an AI-powered cloud data management company, in a deal valued at approximately $8 billion. Informatica shareholders were set to receive $25 per share, an 11% premium over its recent closing price. The acquisition aimed to bolster Salesforce's data management and AI capabilities, particularly in sectors like public services, life sciences, healthcare, and financial services. Informatica, taken private in 2015 and re-listed in 2021, was expected to enhance Salesforce’s ability to utilise data more effectively in the AI-driven era. The deal was approved by both companies’ boards and was expected to close in early fiscal 2027.</w:t>
      </w:r>
      <w:r/>
    </w:p>
    <w:p>
      <w:pPr>
        <w:pStyle w:val="ListNumber"/>
        <w:spacing w:line="240" w:lineRule="auto"/>
        <w:ind w:left="720"/>
      </w:pPr>
      <w:r/>
      <w:hyperlink r:id="rId15">
        <w:r>
          <w:rPr>
            <w:color w:val="0000EE"/>
            <w:u w:val="single"/>
          </w:rPr>
          <w:t>https://www.apnews.com/article/0a28ca70c9fb00816b3e5cc4c416a68e</w:t>
        </w:r>
      </w:hyperlink>
      <w:r>
        <w:t xml:space="preserve"> - In December 2025, Salesforce CEO Marc Benioff sought to regain investor confidence in the company’s artificial intelligence strategy amid a significant stock decline. Despite Salesforce surpassing analyst expectations with a 37% increase in quarterly profit ($2.1 billion) and a 9% revenue boost to $10.9 billion, skepticism around its AI prospects remained. Investors were concerned about the slower-than-expected adoption of AI-powered services such as Salesforce’s “Agentforce,” which had even led to layoffs of 4,000 customer support staff. Although Salesforce’s shares initially rose following the earnings report, gains moderated after Benioff's AI-focused presentation. The company had faced a steep 35% drop in market value since peaking a year ago, losing around $125 billion. Benioff, a vocal proponent of AI and cloud computing pioneer, remained optimistic that adoption would catch up with innovation. Salesforce had set a bold goal of reaching $60 billion in annual revenue by 2030 and recently acquired Informatica for $8 billion to bolster its AI capabilities. Investors, however, continued to scrutinise whether the AI investments would generate the expected returns.</w:t>
      </w:r>
      <w:r/>
    </w:p>
    <w:p>
      <w:pPr>
        <w:pStyle w:val="ListNumber"/>
        <w:spacing w:line="240" w:lineRule="auto"/>
        <w:ind w:left="720"/>
      </w:pPr>
      <w:r/>
      <w:hyperlink r:id="rId11">
        <w:r>
          <w:rPr>
            <w:color w:val="0000EE"/>
            <w:u w:val="single"/>
          </w:rPr>
          <w:t>https://www.itpro.com/business/business-strategy/salesforce-announces-huge-partner-program-revamp-with-agentforce-360-launch</w:t>
        </w:r>
      </w:hyperlink>
      <w:r>
        <w:t xml:space="preserve"> - Salesforce launched a significant update to its Agentforce 360 platform, allowing partners to build, package, and sell AI-powered agents and applications. This expansion aimed to simplify and accelerate the commercialisation of enterprise AI solutions by eliminating the need for partners to manage large language model (LLM) infrastructure and enabling access to over 500 pre-built features. The revamped platform also boosted data integration through the new Zero Copy Partner Network and Data 360, enabling real-time data access without ETL pipelines. Advanced automation features included deeper integration with AppExchange, simplifying provisioning, billing, and licensing, and offering flexible pricing models through a new Flex Credits system. Additionally, real-time analytics and transparent usage reporting supported ongoing optimisation and innovation. Salesforce also launched a new Partner Marketplace App in Q1 2026 to further streamline operations. Other tools, like Financial Services Cloud, Automotive Cloud, and Shield, were already available, with the Marketing Cloud Growth &amp; Advanced tool releasing mid-December and Tableau Next expected in early 2026. Salesforce positioned this initiative as a step toward empowering partners to become IP-focused AI product businesses, emphasising expertise as a key driver of value.</w:t>
      </w:r>
      <w:r/>
    </w:p>
    <w:p>
      <w:pPr>
        <w:pStyle w:val="ListNumber"/>
        <w:spacing w:line="240" w:lineRule="auto"/>
        <w:ind w:left="720"/>
      </w:pPr>
      <w:r/>
      <w:hyperlink r:id="rId16">
        <w:r>
          <w:rPr>
            <w:color w:val="0000EE"/>
            <w:u w:val="single"/>
          </w:rPr>
          <w:t>https://www.youtube.com/watch?v=2Pt_3r5zbYs</w:t>
        </w:r>
      </w:hyperlink>
      <w:r>
        <w:t xml:space="preserve"> - This video reports on Salesforce's expected acquisition of Informatica, a California-based software company, in a deal valued at $8 billion. The acquisition aims to enhance Salesforce's data management and AI capabilities, particularly in sectors like public services, life sciences, healthcare, and financial services. The video provides insights into the strategic implications of the acquisition and its potential impact on Salesforce's business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salesforce-crm-stock-news-today-agentforce-momentum-ai-reliability-questions-and-updated-wall-street-forecasts-dec-24-2025/" TargetMode="External"/><Relationship Id="rId10" Type="http://schemas.openxmlformats.org/officeDocument/2006/relationships/hyperlink" Target="https://www.salesforce.com/news/press-releases/2025/12/03/fy26-q3-earnings/" TargetMode="External"/><Relationship Id="rId11" Type="http://schemas.openxmlformats.org/officeDocument/2006/relationships/hyperlink" Target="https://www.itpro.com/business/business-strategy/salesforce-announces-huge-partner-program-revamp-with-agentforce-360-launch" TargetMode="External"/><Relationship Id="rId12" Type="http://schemas.openxmlformats.org/officeDocument/2006/relationships/hyperlink" Target="https://www.salesforce.com/news/press-releases/2025/11/18/salesforce-completes-acquisition-of-informatica/" TargetMode="External"/><Relationship Id="rId13" Type="http://schemas.openxmlformats.org/officeDocument/2006/relationships/hyperlink" Target="https://www.apnews.com/article/bca8e785b46794ad719d51cbca78161a" TargetMode="External"/><Relationship Id="rId14" Type="http://schemas.openxmlformats.org/officeDocument/2006/relationships/hyperlink" Target="https://www.noahwire.com" TargetMode="External"/><Relationship Id="rId15" Type="http://schemas.openxmlformats.org/officeDocument/2006/relationships/hyperlink" Target="https://www.apnews.com/article/0a28ca70c9fb00816b3e5cc4c416a68e" TargetMode="External"/><Relationship Id="rId16" Type="http://schemas.openxmlformats.org/officeDocument/2006/relationships/hyperlink" Target="https://www.youtube.com/watch?v=2Pt_3r5zb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