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financial crimes challenge Pakistan’s AML/CFT resilience amid rapid digitalisation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According to the Minute Mirror analysis, the rapid diffusion of artificial intelligence across financial systems has shifted money‑laundering and terrorist‑financing risks from transaction‑centric manipulation to identity‑centric exploitation, posing a structural challenge to Pakistan’s AML/CFT framework as it seeks to demonstrate the durability of recent reforms. The piece warns that generative AI, deepfakes and automated decision tools have weakened document‑based verification and non face‑to‑face onboarding, raising immediate questions about whether existing preventive measures remain adequate. </w:t>
      </w:r>
      <w:hyperlink r:id="rId9">
        <w:r>
          <w:rPr>
            <w:color w:val="0000EE"/>
            <w:u w:val="single"/>
          </w:rPr>
          <w:t>[1]</w:t>
        </w:r>
      </w:hyperlink>
      <w:r/>
    </w:p>
    <w:p>
      <w:r/>
      <w:r>
        <w:t xml:space="preserve">The FATF has long required jurisdictions to show an active understanding of evolving risks; the Minute Mirror commentary and FATF guidance both underscore that AI‑driven identity fraud directly undermines traditional customer due diligence and demands fresh risk assessments and typologies. According to the FATF guidance, jurisdictions should consider how algorithmic opacity, bias and automation affect detection and inclusion, and update supervisory expectations accordingly. Industry observers note that many banks and regulators still rely on legacy verification protocols that are ill‑suited to voice‑cloning and synthetic‑document tools. </w:t>
      </w:r>
      <w:hyperlink r:id="rId9">
        <w:r>
          <w:rPr>
            <w:color w:val="0000EE"/>
            <w:u w:val="single"/>
          </w:rPr>
          <w:t>[1]</w:t>
        </w:r>
      </w:hyperlink>
      <w:hyperlink r:id="rId10">
        <w:r>
          <w:rPr>
            <w:color w:val="0000EE"/>
            <w:u w:val="single"/>
          </w:rPr>
          <w:t>[4]</w:t>
        </w:r>
      </w:hyperlink>
      <w:hyperlink r:id="rId11">
        <w:r>
          <w:rPr>
            <w:color w:val="0000EE"/>
            <w:u w:val="single"/>
          </w:rPr>
          <w:t>[3]</w:t>
        </w:r>
      </w:hyperlink>
      <w:r/>
    </w:p>
    <w:p>
      <w:r/>
      <w:r>
        <w:t xml:space="preserve">Beyond identity fraud, the Minute Mirror and IMF analyses identify a new generation of laundering techniques in which criminals use AI to automate transaction structuring, probe controls and adapt patterns to evade static rule‑based monitoring. This evolution raises effectiveness concerns under FATF Immediate Outcomes that measure not only the existence of controls but whether they work in practice; the risk is that technically compliant systems will fail to achieve operational results. Supervisory authorities therefore face pressure to move from checkbox supervision to outcome‑oriented testing and technology‑aware oversight. </w:t>
      </w:r>
      <w:hyperlink r:id="rId9">
        <w:r>
          <w:rPr>
            <w:color w:val="0000EE"/>
            <w:u w:val="single"/>
          </w:rPr>
          <w:t>[1]</w:t>
        </w:r>
      </w:hyperlink>
      <w:hyperlink r:id="rId11">
        <w:r>
          <w:rPr>
            <w:color w:val="0000EE"/>
            <w:u w:val="single"/>
          </w:rPr>
          <w:t>[3]</w:t>
        </w:r>
      </w:hyperlink>
      <w:hyperlink r:id="rId10">
        <w:r>
          <w:rPr>
            <w:color w:val="0000EE"/>
            <w:u w:val="single"/>
          </w:rPr>
          <w:t>[4]</w:t>
        </w:r>
      </w:hyperlink>
      <w:r/>
    </w:p>
    <w:p>
      <w:r/>
      <w:r>
        <w:t xml:space="preserve">Virtual assets amplify these challenges. The FATF and Dawn reporting warn that cross‑border, high‑speed and decentralised virtual asset ecosystems, especially where anonymity‑enhancing tools and decentralised finance protocols are combined with AI automation, complicate tracing and attribution. Pakistan’s ongoing drive to formalise a licensing and registration regime for virtual asset service providers intersects with these risks; regulators must align any new framework with FATF Recommendation 15 and the Travel Rule to avoid regulatory gaps that can be exploited internationally. </w:t>
      </w:r>
      <w:hyperlink r:id="rId9">
        <w:r>
          <w:rPr>
            <w:color w:val="0000EE"/>
            <w:u w:val="single"/>
          </w:rPr>
          <w:t>[1]</w:t>
        </w:r>
      </w:hyperlink>
      <w:hyperlink r:id="rId12">
        <w:r>
          <w:rPr>
            <w:color w:val="0000EE"/>
            <w:u w:val="single"/>
          </w:rPr>
          <w:t>[2]</w:t>
        </w:r>
      </w:hyperlink>
      <w:hyperlink r:id="rId13">
        <w:r>
          <w:rPr>
            <w:color w:val="0000EE"/>
            <w:u w:val="single"/>
          </w:rPr>
          <w:t>[5]</w:t>
        </w:r>
      </w:hyperlink>
      <w:r/>
    </w:p>
    <w:p>
      <w:r/>
      <w:r>
        <w:t xml:space="preserve">Terrorist financing adds a distinct dimension: FATF and domestic analyses highlight how extremist networks deploy AI‑generated content to impersonate legitimate actors and solicit funds through informal payment channels and virtual assets. The Minute Mirror commentary stresses the relevance of Immediate Outcome 9 in ensuring jurisdictions can identify and timely disrupt such schemes, while international reporting points to growing use of stablecoins and other VAs by diverse illicit actors, which demands urgent mitigation. </w:t>
      </w:r>
      <w:hyperlink r:id="rId9">
        <w:r>
          <w:rPr>
            <w:color w:val="0000EE"/>
            <w:u w:val="single"/>
          </w:rPr>
          <w:t>[1]</w:t>
        </w:r>
      </w:hyperlink>
      <w:hyperlink r:id="rId12">
        <w:r>
          <w:rPr>
            <w:color w:val="0000EE"/>
            <w:u w:val="single"/>
          </w:rPr>
          <w:t>[2]</w:t>
        </w:r>
      </w:hyperlink>
      <w:r/>
    </w:p>
    <w:p>
      <w:r/>
      <w:r>
        <w:t xml:space="preserve">The governance of AI within compliance functions emerges as a supervisory priority. FATF guidance and the Minute Mirror note that poorly governed, opaque models introduce accountability gaps and may produce biased or unexplained decisions; prudential and AML supervisors should require documented model governance, human oversight for high‑impact decisions and stress testing of controls against AI‑enabled typologies. Regulators should also provide clear guidance to support firms’ controlled innovation, including regulatory sandboxes for testing analytics and transaction monitoring enhancements. </w:t>
      </w:r>
      <w:hyperlink r:id="rId10">
        <w:r>
          <w:rPr>
            <w:color w:val="0000EE"/>
            <w:u w:val="single"/>
          </w:rPr>
          <w:t>[4]</w:t>
        </w:r>
      </w:hyperlink>
      <w:hyperlink r:id="rId9">
        <w:r>
          <w:rPr>
            <w:color w:val="0000EE"/>
            <w:u w:val="single"/>
          </w:rPr>
          <w:t>[1]</w:t>
        </w:r>
      </w:hyperlink>
      <w:r/>
    </w:p>
    <w:p>
      <w:r/>
      <w:r>
        <w:t xml:space="preserve">Pakistan’s particular vulnerabilities stem from the rapid expansion of digital financial services and the nation’s recent exit from enhanced monitoring. Financial inclusion gains from mobile wallets, branchless banking and fintech are important but, as the Minute Mirror and Dawn reporting warn, they must be matched by proportionate risk mitigation. Observers have flagged that without stronger law‑enforcement capacity, judicial expertise on financial crime and sustained international cooperation, progress on FATF commitments could be fragile. </w:t>
      </w:r>
      <w:hyperlink r:id="rId9">
        <w:r>
          <w:rPr>
            <w:color w:val="0000EE"/>
            <w:u w:val="single"/>
          </w:rPr>
          <w:t>[1]</w:t>
        </w:r>
      </w:hyperlink>
      <w:hyperlink r:id="rId14">
        <w:r>
          <w:rPr>
            <w:color w:val="0000EE"/>
            <w:u w:val="single"/>
          </w:rPr>
          <w:t>[6]</w:t>
        </w:r>
      </w:hyperlink>
      <w:hyperlink r:id="rId15">
        <w:r>
          <w:rPr>
            <w:color w:val="0000EE"/>
            <w:u w:val="single"/>
          </w:rPr>
          <w:t>[7]</w:t>
        </w:r>
      </w:hyperlink>
      <w:r/>
    </w:p>
    <w:p>
      <w:r/>
      <w:r>
        <w:t xml:space="preserve">Policy recommendations flowing from these analyses are consistent: require VASPs to implement enhanced due diligence for remote onboarding, continuous transaction monitoring attuned to AI‑driven behaviours, and governance arrangements that ensure accountability for compliance technologies; expect banks and payment providers to invest in advanced analytics, staff training and coordinated internal controls; and embed AI risk into Pakistan’s national AML/CFT strategy with cross‑agency coordination and public‑sector analytic capacity building. Such measures would better align Pakistan with FATF expectations and strengthen effectiveness across multiple Immediate Outcomes. </w:t>
      </w:r>
      <w:hyperlink r:id="rId9">
        <w:r>
          <w:rPr>
            <w:color w:val="0000EE"/>
            <w:u w:val="single"/>
          </w:rPr>
          <w:t>[1]</w:t>
        </w:r>
      </w:hyperlink>
      <w:hyperlink r:id="rId12">
        <w:r>
          <w:rPr>
            <w:color w:val="0000EE"/>
            <w:u w:val="single"/>
          </w:rPr>
          <w:t>[2]</w:t>
        </w:r>
      </w:hyperlink>
      <w:hyperlink r:id="rId10">
        <w:r>
          <w:rPr>
            <w:color w:val="0000EE"/>
            <w:u w:val="single"/>
          </w:rPr>
          <w:t>[4]</w:t>
        </w:r>
      </w:hyperlink>
      <w:hyperlink r:id="rId13">
        <w:r>
          <w:rPr>
            <w:color w:val="0000EE"/>
            <w:u w:val="single"/>
          </w:rPr>
          <w:t>[5]</w:t>
        </w:r>
      </w:hyperlink>
      <w:r/>
    </w:p>
    <w:p>
      <w:r/>
      <w:r>
        <w:t xml:space="preserve">The rise of AI and deepfake technologies represents a durable change in the financial‑crime landscape rather than a transient threat. Pakistan’s ability to adapt regulation, supervision and institutional capacity to address identity‑centric fraud, automation of laundering and VA‑related risks will be central to sustaining financial integrity, preserving international confidence and securing the economic benefits of digital finance.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(Minute Mirror) - Paragraph 1, Paragraph 2, Paragraph 3, Paragraph 5, Paragraph 6, Paragraph 7, Paragraph 8, Paragraph 9</w:t>
      </w:r>
      <w:r/>
    </w:p>
    <w:p>
      <w:pPr>
        <w:pStyle w:val="ListBullet"/>
        <w:spacing w:line="240" w:lineRule="auto"/>
        <w:ind w:left="720"/>
      </w:pPr>
      <w:r/>
      <w:hyperlink r:id="rId10">
        <w:r>
          <w:rPr>
            <w:color w:val="0000EE"/>
            <w:u w:val="single"/>
          </w:rPr>
          <w:t>[4]</w:t>
        </w:r>
      </w:hyperlink>
      <w:r>
        <w:t xml:space="preserve"> (Financial Action Task Force guidance) - Paragraph 2, Paragraph 3, Paragraph 6, Paragraph 8</w:t>
      </w:r>
      <w:r/>
    </w:p>
    <w:p>
      <w:pPr>
        <w:pStyle w:val="ListBullet"/>
        <w:spacing w:line="240" w:lineRule="auto"/>
        <w:ind w:left="720"/>
      </w:pPr>
      <w:r/>
      <w:hyperlink r:id="rId11">
        <w:r>
          <w:rPr>
            <w:color w:val="0000EE"/>
            <w:u w:val="single"/>
          </w:rPr>
          <w:t>[3]</w:t>
        </w:r>
      </w:hyperlink>
      <w:r>
        <w:t xml:space="preserve"> (IMF, Finance &amp; Development) - Paragraph 2, Paragraph 3</w:t>
      </w:r>
      <w:r/>
    </w:p>
    <w:p>
      <w:pPr>
        <w:pStyle w:val="ListBullet"/>
        <w:spacing w:line="240" w:lineRule="auto"/>
        <w:ind w:left="720"/>
      </w:pPr>
      <w:r/>
      <w:hyperlink r:id="rId12">
        <w:r>
          <w:rPr>
            <w:color w:val="0000EE"/>
            <w:u w:val="single"/>
          </w:rPr>
          <w:t>[2]</w:t>
        </w:r>
      </w:hyperlink>
      <w:r>
        <w:t xml:space="preserve"> (Dawn) - Paragraph 4, Paragraph 5, Paragraph 8</w:t>
      </w:r>
      <w:r/>
    </w:p>
    <w:p>
      <w:pPr>
        <w:pStyle w:val="ListBullet"/>
        <w:spacing w:line="240" w:lineRule="auto"/>
        <w:ind w:left="720"/>
      </w:pPr>
      <w:r/>
      <w:hyperlink r:id="rId13">
        <w:r>
          <w:rPr>
            <w:color w:val="0000EE"/>
            <w:u w:val="single"/>
          </w:rPr>
          <w:t>[5]</w:t>
        </w:r>
      </w:hyperlink>
      <w:r>
        <w:t xml:space="preserve"> (Wikipedia: Pakistan Virtual Assets Regulatory Authority) - Paragraph 4, Paragraph 8</w:t>
      </w:r>
      <w:r/>
    </w:p>
    <w:p>
      <w:pPr>
        <w:pStyle w:val="ListBullet"/>
        <w:spacing w:line="240" w:lineRule="auto"/>
        <w:ind w:left="720"/>
      </w:pPr>
      <w:r/>
      <w:hyperlink r:id="rId14">
        <w:r>
          <w:rPr>
            <w:color w:val="0000EE"/>
            <w:u w:val="single"/>
          </w:rPr>
          <w:t>[6]</w:t>
        </w:r>
      </w:hyperlink>
      <w:r>
        <w:t xml:space="preserve"> (Dawn) - Paragraph 7</w:t>
      </w:r>
      <w:r/>
    </w:p>
    <w:p>
      <w:pPr>
        <w:pStyle w:val="ListBullet"/>
        <w:spacing w:line="240" w:lineRule="auto"/>
        <w:ind w:left="720"/>
      </w:pPr>
      <w:r/>
      <w:hyperlink r:id="rId15">
        <w:r>
          <w:rPr>
            <w:color w:val="0000EE"/>
            <w:u w:val="single"/>
          </w:rPr>
          <w:t>[7]</w:t>
        </w:r>
      </w:hyperlink>
      <w:r>
        <w:t xml:space="preserve"> (Wikipedia: FATF grey list)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https://minutemirror.com.pk/ai-enabled-crimes-aml-cft-challenges-480377/</w:t>
        </w:r>
      </w:hyperlink>
      <w:r>
        <w:t xml:space="preserve"> - Please view link - unable to able to access data</w:t>
      </w:r>
      <w:r/>
    </w:p>
    <w:p>
      <w:pPr>
        <w:pStyle w:val="ListNumber"/>
        <w:spacing w:line="240" w:lineRule="auto"/>
        <w:ind w:left="720"/>
      </w:pPr>
      <w:r/>
      <w:hyperlink r:id="rId12">
        <w:r>
          <w:rPr>
            <w:color w:val="0000EE"/>
            <w:u w:val="single"/>
          </w:rPr>
          <w:t>https://www.dawn.com/news/1920445/fatf-flags-threats-from-virtual-assets</w:t>
        </w:r>
      </w:hyperlink>
      <w:r>
        <w:t xml:space="preserve"> - The Financial Action Task Force (FATF) has called for urgent global measures to address growing risks of money laundering (ML), terror financing (TF), and proliferation financing (PF) linked to virtual assets (VAs) and virtual asset service providers (VASPs). This call comes as Pakistan continues its accelerated push towards regulating digital currencies. While the country has conducted risk assessments for VAs and VASPs, it has not explicitly banned their use. Legislation is currently underway for registering or licensing VASPs under anti-money laundering and counter-terror financing frameworks, including compliance with the so-called Travel Rule. In its latest report on the implementation of FATF standards related to VAs and VASPs, the Paris-based watchdog urged countries to identify and assess associated ML/TF/PF risks and implement mitigation strategies without delay. The report warned that due to the inherently borderless nature of virtual assets, regulatory lapses in one jurisdiction can have far-reaching consequences. It highlighted emerging threats from criminal exploitation of VAs, particularly the increasing use of stablecoins by terrorist financiers, drug traffickers, and state-linked actors, including those from North Korea.</w:t>
      </w:r>
      <w:r/>
    </w:p>
    <w:p>
      <w:pPr>
        <w:pStyle w:val="ListNumber"/>
        <w:spacing w:line="240" w:lineRule="auto"/>
        <w:ind w:left="720"/>
      </w:pPr>
      <w:r/>
      <w:hyperlink r:id="rId11">
        <w:r>
          <w:rPr>
            <w:color w:val="0000EE"/>
            <w:u w:val="single"/>
          </w:rPr>
          <w:t>https://www.imf.org/en/Publications/fandd/issues/2025/09/fighting-tech-fueled-crime-chady-el-khoury</w:t>
        </w:r>
      </w:hyperlink>
      <w:r>
        <w:t xml:space="preserve"> - Cybercriminals use AI-generated identities and bots to deceive banks and evade outdated controls. Tracking proceeds generated by organized crime is nearly impossible for underresourced agencies. AI lowers barriers to entry. Fraudsters with voice-cloning and fake-document generators bypass the verification protocols many banks and regulators still use. Their innovation is growing as compliance systems lag. Governments recognize the threats, but responses are fragmented and uneven—including in regulation of crypto exchanges. And there are delays implementing the Financial Action Task Force’s (FATF’s) “travel rule” to better identify those sending and receiving money across borders, which most digital proceeds cross. Meanwhile, international financial flows are increasingly complicated by instant transfers on decentralized platforms and anonymity-enhancing tools. Most payments still go through multiple intermediaries, often layering cross-border transactions through antiquated correspondent banks that obscure and delay transactions while raising costs.</w:t>
      </w:r>
      <w:r/>
    </w:p>
    <w:p>
      <w:pPr>
        <w:pStyle w:val="ListNumber"/>
        <w:spacing w:line="240" w:lineRule="auto"/>
        <w:ind w:left="720"/>
      </w:pPr>
      <w:r/>
      <w:hyperlink r:id="rId10">
        <w:r>
          <w:rPr>
            <w:color w:val="0000EE"/>
            <w:u w:val="single"/>
          </w:rPr>
          <w:t>https://www.fatf-gafi.org/content/dam/fatf-gafi/guidance/Opportunities-Challenges-of-New-Technologies-for-AML-CFT.pdf.coredownload.pdf</w:t>
        </w:r>
      </w:hyperlink>
      <w:r>
        <w:t xml:space="preserve"> - The Financial Action Task Force (FATF) has highlighted the opportunities and challenges posed by new technologies, including artificial intelligence (AI), in the context of Anti-Money Laundering (AML) and Countering the Financing of Terrorism (CFT). The document discusses how technological innovations can enhance the efficiency of financial systems but also present risks such as algorithmic bias and the potential for financial exclusion. It emphasizes the need for jurisdictions to understand and mitigate these risks to maintain the integrity of the financial system.</w:t>
      </w:r>
      <w:r/>
    </w:p>
    <w:p>
      <w:pPr>
        <w:pStyle w:val="ListNumber"/>
        <w:spacing w:line="240" w:lineRule="auto"/>
        <w:ind w:left="720"/>
      </w:pPr>
      <w:r/>
      <w:hyperlink r:id="rId13">
        <w:r>
          <w:rPr>
            <w:color w:val="0000EE"/>
            <w:u w:val="single"/>
          </w:rPr>
          <w:t>https://en.wikipedia.org/wiki/Pakistan_Virtual_Assets_Regulatory_Authority</w:t>
        </w:r>
      </w:hyperlink>
      <w:r>
        <w:t xml:space="preserve"> - The Pakistan Virtual Assets Regulatory Authority (PVARA) is an autonomous federal regulatory body established under the Virtual Assets Ordinance, 2025, to license, regulate, and supervise virtual asset services and service providers across Pakistan. PVARA was created through the Virtual Assets Ordinance, 2025 (Ordinance No. VII of 2025), signed into law by President Asif Ali Zardari on July 8, 2025, under Article 89 of the Constitution of Pakistan. The ordinance was promulgated as an urgent measure while the Parliament was not in session and will remain in effect for 120 days unless extended or replaced by an act of Parliament.</w:t>
      </w:r>
      <w:r/>
    </w:p>
    <w:p>
      <w:pPr>
        <w:pStyle w:val="ListNumber"/>
        <w:spacing w:line="240" w:lineRule="auto"/>
        <w:ind w:left="720"/>
      </w:pPr>
      <w:r/>
      <w:hyperlink r:id="rId14">
        <w:r>
          <w:rPr>
            <w:color w:val="0000EE"/>
            <w:u w:val="single"/>
          </w:rPr>
          <w:t>https://www.dawn.com/news/1883607/financial-crimes</w:t>
        </w:r>
      </w:hyperlink>
      <w:r>
        <w:t xml:space="preserve"> - Following the 26th Constitutional Amendment, the criteria for appointing high court judges have been framed under the Judicial Commission of Pakistan (Appointment of Judges) Rules, 2024. This has provided an opportunity to consider appointing judges who have background and expertise in dealing with financial crimes cases, such as money laundering, terrorism financing, tax fraud, and so on. The Financial Action Task Force (FATF) finally removed Pakistan from its ‘grey list’, under which it closely monitors countries for money laundering and terrorism financing, in 2022 — four years after the country was placed on it. It was a hard-won relief. However, without an effective law enforcement mechanism and criminal justice system, along with measures to ensure adequate judicial supervision when dealing with financial crimes, Pakistan may once again end up being placed on the FATF grey list or facing similar sanctions.</w:t>
      </w:r>
      <w:r/>
    </w:p>
    <w:p>
      <w:pPr>
        <w:pStyle w:val="ListNumber"/>
        <w:spacing w:line="240" w:lineRule="auto"/>
        <w:ind w:left="720"/>
      </w:pPr>
      <w:r/>
      <w:hyperlink r:id="rId15">
        <w:r>
          <w:rPr>
            <w:color w:val="0000EE"/>
            <w:u w:val="single"/>
          </w:rPr>
          <w:t>https://en.wikipedia.org/wiki/Financial_Action_Task_Force_blacklist</w:t>
        </w:r>
      </w:hyperlink>
      <w:r>
        <w:t xml:space="preserve"> - The Financial Action Task Force (FATF) maintains a list of jurisdictions under increased monitoring, commonly referred to as the 'grey list'. This list includes countries that have strategic deficiencies in their regimes to counter money laundering, terrorist financing, and proliferation financing. The list is updated regularly, with countries being added or removed based on their progress in addressing these deficiencies. For instance, in October 2022, Pakistan was removed from the grey list after demonstrating significant progress in implementing FATF's recommendations.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nutemirror.com.pk/ai-enabled-crimes-aml-cft-challenges-480377/" TargetMode="External"/><Relationship Id="rId10" Type="http://schemas.openxmlformats.org/officeDocument/2006/relationships/hyperlink" Target="https://www.fatf-gafi.org/content/dam/fatf-gafi/guidance/Opportunities-Challenges-of-New-Technologies-for-AML-CFT.pdf.coredownload.pdf" TargetMode="External"/><Relationship Id="rId11" Type="http://schemas.openxmlformats.org/officeDocument/2006/relationships/hyperlink" Target="https://www.imf.org/en/Publications/fandd/issues/2025/09/fighting-tech-fueled-crime-chady-el-khoury" TargetMode="External"/><Relationship Id="rId12" Type="http://schemas.openxmlformats.org/officeDocument/2006/relationships/hyperlink" Target="https://www.dawn.com/news/1920445/fatf-flags-threats-from-virtual-assets" TargetMode="External"/><Relationship Id="rId13" Type="http://schemas.openxmlformats.org/officeDocument/2006/relationships/hyperlink" Target="https://en.wikipedia.org/wiki/Pakistan_Virtual_Assets_Regulatory_Authority" TargetMode="External"/><Relationship Id="rId14" Type="http://schemas.openxmlformats.org/officeDocument/2006/relationships/hyperlink" Target="https://www.dawn.com/news/1883607/financial-crimes" TargetMode="External"/><Relationship Id="rId15" Type="http://schemas.openxmlformats.org/officeDocument/2006/relationships/hyperlink" Target="https://en.wikipedia.org/wiki/Financial_Action_Task_Force_blackli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