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faces regulatory headwinds and growth dilemmas as markets close on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Meta Platforms enters the final trading week of 2025 with its shares perched near record territory but with investor attention pulled between promising AI-driven advertising gains and intensifying regulatory scrutiny focused on youth safety and product design. Markets were closed for the weekend after Friday’s session, leaving META to face fresh price discovery when trading resumes on Monday, Dec. 29. </w:t>
      </w:r>
      <w:hyperlink r:id="rId9">
        <w:r>
          <w:rPr>
            <w:color w:val="0000EE"/>
            <w:u w:val="single"/>
          </w:rPr>
          <w:t>[1]</w:t>
        </w:r>
      </w:hyperlink>
      <w:r/>
    </w:p>
    <w:p>
      <w:r/>
      <w:r>
        <w:t xml:space="preserve">Friday’s last trade left META around $663.29, with the session range roughly $661.39–$668.70 and a market capitalisation near $1.85 trillion; the stock was trading at roughly 31x earnings on the most recent snapshot. In thin, year-end markets, such a close-into-weekend setup can amplify sensitivity to headlines because lower liquidity often exaggerates opening moves. Reuters characterised the post-Christmas session as light-volume, a cautious pause within the seasonal “Santa Claus rally” window. </w:t>
      </w:r>
      <w:hyperlink r:id="rId9">
        <w:r>
          <w:rPr>
            <w:color w:val="0000EE"/>
            <w:u w:val="single"/>
          </w:rPr>
          <w:t>[1]</w:t>
        </w:r>
      </w:hyperlink>
      <w:hyperlink r:id="rId10">
        <w:r>
          <w:rPr>
            <w:color w:val="0000EE"/>
            <w:u w:val="single"/>
          </w:rPr>
          <w:t>[2]</w:t>
        </w:r>
      </w:hyperlink>
      <w:r/>
    </w:p>
    <w:p>
      <w:r/>
      <w:r>
        <w:t xml:space="preserve">Regulatory developments out of New York crystallised as the most immediate policy risk over the weekend. Governor Kathy Hochul signed legislation requiring social platforms to display warning labels about potentially “addictive” features such as autoplay, infinite scroll and algorithmic feeds for users under 18, with civil penalties of up to $5,000 per violation, according to the bill sponsors and state statements. The law mandates visible warnings when a young user first encounters the feature and periodically thereafter, without an option to bypass the notice. </w:t>
      </w:r>
      <w:hyperlink r:id="rId11">
        <w:r>
          <w:rPr>
            <w:color w:val="0000EE"/>
            <w:u w:val="single"/>
          </w:rPr>
          <w:t>[3]</w:t>
        </w:r>
      </w:hyperlink>
      <w:hyperlink r:id="rId12">
        <w:r>
          <w:rPr>
            <w:color w:val="0000EE"/>
            <w:u w:val="single"/>
          </w:rPr>
          <w:t>[4]</w:t>
        </w:r>
      </w:hyperlink>
      <w:hyperlink r:id="rId10">
        <w:r>
          <w:rPr>
            <w:color w:val="0000EE"/>
            <w:u w:val="single"/>
          </w:rPr>
          <w:t>[2]</w:t>
        </w:r>
      </w:hyperlink>
      <w:r/>
    </w:p>
    <w:p>
      <w:r/>
      <w:r>
        <w:t xml:space="preserve">That measure matters materially for Meta because Instagram and Facebook have historically relied on algorithmic ranking and engagement loops that regulators now explicitly link to youth mental-health concerns. While the immediate operational response may be UI and compliance work, market participants commonly interpret such laws as signposts for broader momentum toward additional state-level restrictions and litigation risk that could affect engagement and ad targeting over time.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Compounding the regulatory narrative, reporting on internal Instagram strategy has returned youth engagement to the centre of investor debate. Leaked documents summarised in reporting showed an internal push to “win back teens,” with direction from Instagram leadership prioritising teen-focused growth initiatives amid competitive pressure from TikTok and YouTube. Meta has told reporters it believes its teen-focused protections and tools are designed to improve outcomes for teens and parents, but the juxtaposition of growth-seeking product moves and new legal constraints tightens the trade-off for investors. </w:t>
      </w:r>
      <w:hyperlink r:id="rId9">
        <w:r>
          <w:rPr>
            <w:color w:val="0000EE"/>
            <w:u w:val="single"/>
          </w:rPr>
          <w:t>[1]</w:t>
        </w:r>
      </w:hyperlink>
      <w:r/>
    </w:p>
    <w:p>
      <w:r/>
      <w:r>
        <w:t xml:space="preserve">The corporate picture remains mixed: Meta’s Q3 2025 results continue to anchor bullish forecasts while flagging a substantial spending ramp. The company reported about $51.24 billion in revenue, up 26% year-on-year, with rising ad impressions and higher average ad prices underpinning growth. At the same time, management has signalled that capital expenditure and total expenses will increase notably in 2026 as the firm invests in AI infrastructure and talent, and it has explicitly noted ongoing legal and regulatory matters that could materially affect the business. That guidance is central to the valuation debate: stronger AI-driven monetisation versus margin pressure from elevated capex and compliance costs. </w:t>
      </w:r>
      <w:hyperlink r:id="rId13">
        <w:r>
          <w:rPr>
            <w:color w:val="0000EE"/>
            <w:u w:val="single"/>
          </w:rPr>
          <w:t>[5]</w:t>
        </w:r>
      </w:hyperlink>
      <w:hyperlink r:id="rId14">
        <w:r>
          <w:rPr>
            <w:color w:val="0000EE"/>
            <w:u w:val="single"/>
          </w:rPr>
          <w:t>[7]</w:t>
        </w:r>
      </w:hyperlink>
      <w:r/>
    </w:p>
    <w:p>
      <w:r/>
      <w:r>
        <w:t xml:space="preserve">Market research and analyst notes illustrate the split view. Industry commentary highlighted Meta’s AI-driven ad tooling as a core bullish argument for sustained engagement and ad performance, while proprietary forecasts such as Trefis offered an $850 upside scenario contingent on AI-led ad acceleration and new monetisation vectors, yet still listed regulatory threats as an “existential” risk. Separately, sell-side analysts continued to urge selective buying into year-end weakness, viewing the company’s AI roadmap as a long-duration growth lever even as they trim near-term targets in light of higher expense paths. </w:t>
      </w:r>
      <w:hyperlink r:id="rId9">
        <w:r>
          <w:rPr>
            <w:color w:val="0000EE"/>
            <w:u w:val="single"/>
          </w:rPr>
          <w:t>[1]</w:t>
        </w:r>
      </w:hyperlink>
      <w:r/>
    </w:p>
    <w:p>
      <w:r/>
      <w:r>
        <w:t xml:space="preserve">Investors heading into Monday should therefore watch three linked developments closely: follow-on regulatory coverage and any clarifications about enforcement of the New York warning-label law; additional reporting or company responses about Instagram’s teen-growth strategy; and any fresh commentary from Meta on the timing and scale of its 2026 infrastructure spend. Thin year-end liquidity raises the odds that any of these headlines could prompt outsized intraday moves that later mean-revert as participation normalises in January.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[5]</w:t>
        </w:r>
      </w:hyperlink>
      <w:r/>
    </w:p>
    <w:p>
      <w:r/>
      <w:r>
        <w:t xml:space="preserve">Practical calendar items also matter: earnings season provides the next formal catalyst, with market calendars currently estimating Meta’s next report in early February 2026, around 4 February, though dates remain subject to official confirmation. Between now and then, investor positioning will likely hinge on whether the market chooses to emphasise AI monetisation and long-term reach or to penalise nearer-term margin risk and regulatory uncertainty. </w:t>
      </w:r>
      <w:hyperlink r:id="rId9">
        <w:r>
          <w:rPr>
            <w:color w:val="0000EE"/>
            <w:u w:val="single"/>
          </w:rPr>
          <w:t>[1]</w:t>
        </w:r>
      </w:hyperlink>
      <w:r/>
    </w:p>
    <w:p>
      <w:r/>
      <w:r>
        <w:t xml:space="preserve">In sum, Meta’s fundamentals remain defined by a powerful ad engine being remade by AI, but the weekend’s regulatory and editorial headwinds underscore that youth safety and product-design constraints are now integral to valuation, not peripheral concerns. If the broader market keeps its year-end upward bias, META could ride the mega-cap tide; if regulatory follow-up or more granular reporting on teen-targeting intensifies, the stock is apt to show heightened sensitivity at the open and into early 2026. </w:t>
      </w:r>
      <w:hyperlink r:id="rId9">
        <w:r>
          <w:rPr>
            <w:color w:val="0000EE"/>
            <w:u w:val="single"/>
          </w:rPr>
          <w:t>[1]</w:t>
        </w:r>
      </w:hyperlink>
      <w:hyperlink r:id="rId13">
        <w:r>
          <w:rPr>
            <w:color w:val="0000EE"/>
            <w:u w:val="single"/>
          </w:rPr>
          <w:t>[5]</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(ts2.tech) - Paragraph 1, Paragraph 2, Paragraph 5, Paragraph 7, Paragraph 8, Paragraph 9, Paragraph 10</w:t>
      </w:r>
      <w:r/>
    </w:p>
    <w:p>
      <w:pPr>
        <w:pStyle w:val="ListBullet"/>
        <w:spacing w:line="240" w:lineRule="auto"/>
        <w:ind w:left="720"/>
      </w:pPr>
      <w:r/>
      <w:hyperlink r:id="rId10">
        <w:r>
          <w:rPr>
            <w:color w:val="0000EE"/>
            <w:u w:val="single"/>
          </w:rPr>
          <w:t>[2]</w:t>
        </w:r>
      </w:hyperlink>
      <w:r>
        <w:t xml:space="preserve"> (Reuters) - Paragraph 2, Paragraph 3, Paragraph 8</w:t>
      </w:r>
      <w:r/>
    </w:p>
    <w:p>
      <w:pPr>
        <w:pStyle w:val="ListBullet"/>
        <w:spacing w:line="240" w:lineRule="auto"/>
        <w:ind w:left="720"/>
      </w:pPr>
      <w:r/>
      <w:hyperlink r:id="rId11">
        <w:r>
          <w:rPr>
            <w:color w:val="0000EE"/>
            <w:u w:val="single"/>
          </w:rPr>
          <w:t>[3]</w:t>
        </w:r>
      </w:hyperlink>
      <w:r>
        <w:t xml:space="preserve"> (New York Senate press release) - Paragraph 3, Paragraph 4</w:t>
      </w:r>
      <w:r/>
    </w:p>
    <w:p>
      <w:pPr>
        <w:pStyle w:val="ListBullet"/>
        <w:spacing w:line="240" w:lineRule="auto"/>
        <w:ind w:left="720"/>
      </w:pPr>
      <w:r/>
      <w:hyperlink r:id="rId12">
        <w:r>
          <w:rPr>
            <w:color w:val="0000EE"/>
            <w:u w:val="single"/>
          </w:rPr>
          <w:t>[4]</w:t>
        </w:r>
      </w:hyperlink>
      <w:r>
        <w:t xml:space="preserve"> (Governor's office news) - Paragraph 3, Paragraph 4</w:t>
      </w:r>
      <w:r/>
    </w:p>
    <w:p>
      <w:pPr>
        <w:pStyle w:val="ListBullet"/>
        <w:spacing w:line="240" w:lineRule="auto"/>
        <w:ind w:left="720"/>
      </w:pPr>
      <w:r/>
      <w:hyperlink r:id="rId13">
        <w:r>
          <w:rPr>
            <w:color w:val="0000EE"/>
            <w:u w:val="single"/>
          </w:rPr>
          <w:t>[5]</w:t>
        </w:r>
      </w:hyperlink>
      <w:r>
        <w:t xml:space="preserve"> (AP) - Paragraph 6, Paragraph 10</w:t>
      </w:r>
      <w:r/>
    </w:p>
    <w:p>
      <w:pPr>
        <w:pStyle w:val="ListBullet"/>
        <w:spacing w:line="240" w:lineRule="auto"/>
        <w:ind w:left="720"/>
      </w:pPr>
      <w:r/>
      <w:hyperlink r:id="rId14">
        <w:r>
          <w:rPr>
            <w:color w:val="0000EE"/>
            <w:u w:val="single"/>
          </w:rPr>
          <w:t>[7]</w:t>
        </w:r>
      </w:hyperlink>
      <w:r>
        <w:t xml:space="preserve"> (Nasdaq summary / Q3 report) - Paragraph 6,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https://ts2.tech/en/meta-platforms-meta-stock-weekend-wrap-fresh-regulatory-headlines-and-what-to-watch-before-mondays-open/</w:t>
        </w:r>
      </w:hyperlink>
      <w:r>
        <w:t xml:space="preserve"> - Please view link - unable to able to access data</w:t>
      </w:r>
      <w:r/>
    </w:p>
    <w:p>
      <w:pPr>
        <w:pStyle w:val="ListNumber"/>
        <w:spacing w:line="240" w:lineRule="auto"/>
        <w:ind w:left="720"/>
      </w:pPr>
      <w:r/>
      <w:hyperlink r:id="rId10">
        <w:r>
          <w:rPr>
            <w:color w:val="0000EE"/>
            <w:u w:val="single"/>
          </w:rPr>
          <w:t>https://www.reuters.com/article/us-usa-new-york-socialmedia-idUSKBN2A10Z5</w:t>
        </w:r>
      </w:hyperlink>
      <w:r>
        <w:t xml:space="preserve"> - New York has enacted the Responsible AI Safety and Education Act, requiring social media platforms like Instagram and TikTok to display warning labels about addictive design features when accessed by users under 18. Signed into law by Governor Kathy Hochul, the legislation aims to protect teen mental health, citing concerns from a U.S. Surgeon General advisory linking excessive social media use to anxiety, depression, and disrupted sleep. The law mandates that features such as autoplay, infinite scroll, and algorithmic feeds must show visible warnings to minors, with fines of up to $5,000 per incident for non-compliance.</w:t>
      </w:r>
      <w:r/>
    </w:p>
    <w:p>
      <w:pPr>
        <w:pStyle w:val="ListNumber"/>
        <w:spacing w:line="240" w:lineRule="auto"/>
        <w:ind w:left="720"/>
      </w:pPr>
      <w:r/>
      <w:hyperlink r:id="rId11">
        <w:r>
          <w:rPr>
            <w:color w:val="0000EE"/>
            <w:u w:val="single"/>
          </w:rPr>
          <w:t>https://www.nysenate.gov/newsroom/press-releases/2025/andrew-gounardes/sen-gounardes-am-rozics-bill-require-warning-labels</w:t>
        </w:r>
      </w:hyperlink>
      <w:r>
        <w:t xml:space="preserve"> - New York State Senator Andrew Gounardes and Assemblymember Nily Rozic's bill to require warning labels on social media platforms with addictive design features was signed into law. The legislation mandates that platforms offering features like autoplay, infinite scroll, and algorithmic feeds display warning labels to users under 18, highlighting the mental health risks associated with excessive social media use. The law aims to ensure transparency and protect youth mental health by informing users about the potential harms of these design features.</w:t>
      </w:r>
      <w:r/>
    </w:p>
    <w:p>
      <w:pPr>
        <w:pStyle w:val="ListNumber"/>
        <w:spacing w:line="240" w:lineRule="auto"/>
        <w:ind w:left="720"/>
      </w:pPr>
      <w:r/>
      <w:hyperlink r:id="rId12">
        <w:r>
          <w:rPr>
            <w:color w:val="0000EE"/>
            <w:u w:val="single"/>
          </w:rPr>
          <w:t>https://www.governor.ny.gov/news/governor-hochul-signs-legislation-require-warning-labels-social-media-platforms</w:t>
        </w:r>
      </w:hyperlink>
      <w:r>
        <w:t xml:space="preserve"> - Governor Kathy Hochul signed legislation requiring social media platforms to display labels warning of the dangerous impact certain features can have on young users' mental health. The law mandates that platforms with addictive feeds, autoplay, or infinite scroll post warning labels when a young user initially uses the feature and periodically thereafter. Users cannot bypass or click through the warnings. The legislation builds on the Governor's ongoing efforts to address the youth mental health crisis statewide.</w:t>
      </w:r>
      <w:r/>
    </w:p>
    <w:p>
      <w:pPr>
        <w:pStyle w:val="ListNumber"/>
        <w:spacing w:line="240" w:lineRule="auto"/>
        <w:ind w:left="720"/>
      </w:pPr>
      <w:r/>
      <w:hyperlink r:id="rId13">
        <w:r>
          <w:rPr>
            <w:color w:val="0000EE"/>
            <w:u w:val="single"/>
          </w:rPr>
          <w:t>https://apnews.com/article/4bc5e0a42e984938b58de5c3561b5faa</w:t>
        </w:r>
      </w:hyperlink>
      <w:r>
        <w:t xml:space="preserve"> - Meta Platforms Inc. experienced a 7.7% decline in its stock price in after-hours trading despite reporting strong third-quarter earnings. The dip stemmed from investor concerns over projected significantly higher expenses in 2026, largely due to a surge in infrastructure spending and salaries for AI talent. Meta earned $2.71 billion, or $1.05 per share, on $51.42 billion in revenue—a 26% year-over-year increase, surpassing analyst estimates. The company attributed increased costs to full-year compensation for employees, particularly in artificial intelligence, which it sees as key to future growth.</w:t>
      </w:r>
      <w:r/>
    </w:p>
    <w:p>
      <w:pPr>
        <w:pStyle w:val="ListNumber"/>
        <w:spacing w:line="240" w:lineRule="auto"/>
        <w:ind w:left="720"/>
      </w:pPr>
      <w:r/>
      <w:hyperlink r:id="rId16">
        <w:r>
          <w:rPr>
            <w:color w:val="0000EE"/>
            <w:u w:val="single"/>
          </w:rPr>
          <w:t>https://finance.yahoo.com/news/meta-shares-slide-company-projects-204212773.html</w:t>
        </w:r>
      </w:hyperlink>
      <w:r>
        <w:t xml:space="preserve"> - Meta's stock slid in after-hours trading on Wednesday after the tech giant posted strong third-quarter results but warned that its expenses will be significantly higher in 2026 than this year. Like its rivals, Meta Platforms Inc. has been on an artificial intelligence spending spree and said its costs will grow much faster next year, driven by infrastructure costs and employee compensation as it has hired AI experts at eye-popping compensation levels. The company earned $2.71 billion, or $1.05 per share, in the July-September period.</w:t>
      </w:r>
      <w:r/>
    </w:p>
    <w:p>
      <w:pPr>
        <w:pStyle w:val="ListNumber"/>
        <w:spacing w:line="240" w:lineRule="auto"/>
        <w:ind w:left="720"/>
      </w:pPr>
      <w:r/>
      <w:hyperlink r:id="rId14">
        <w:r>
          <w:rPr>
            <w:color w:val="0000EE"/>
            <w:u w:val="single"/>
          </w:rPr>
          <w:t>https://www.nasdaq.com/articles/meta-platforms-inc.-q3-2025-earnings-report</w:t>
        </w:r>
      </w:hyperlink>
      <w:r>
        <w:t xml:space="preserve"> - Meta Platforms Inc. reported strong financial results for Q3 2025, with a 26% year-over-year increase in revenue to $51.24 billion. The company attributed the growth to increased ad impressions and higher average prices per ad. However, Meta also projected higher expenses for 2026, driven by infrastructure spending and compensation for AI talent. The company expects capital expenditures to be notably larger in 2026 than in 2025, with total expenses expected to grow at a significantly faster rate, primarily due to infrastructure investments.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meta-platforms-meta-stock-weekend-wrap-fresh-regulatory-headlines-and-what-to-watch-before-mondays-open/" TargetMode="External"/><Relationship Id="rId10" Type="http://schemas.openxmlformats.org/officeDocument/2006/relationships/hyperlink" Target="https://www.reuters.com/article/us-usa-new-york-socialmedia-idUSKBN2A10Z5" TargetMode="External"/><Relationship Id="rId11" Type="http://schemas.openxmlformats.org/officeDocument/2006/relationships/hyperlink" Target="https://www.nysenate.gov/newsroom/press-releases/2025/andrew-gounardes/sen-gounardes-am-rozics-bill-require-warning-labels" TargetMode="External"/><Relationship Id="rId12" Type="http://schemas.openxmlformats.org/officeDocument/2006/relationships/hyperlink" Target="https://www.governor.ny.gov/news/governor-hochul-signs-legislation-require-warning-labels-social-media-platforms" TargetMode="External"/><Relationship Id="rId13" Type="http://schemas.openxmlformats.org/officeDocument/2006/relationships/hyperlink" Target="https://apnews.com/article/4bc5e0a42e984938b58de5c3561b5faa" TargetMode="External"/><Relationship Id="rId14" Type="http://schemas.openxmlformats.org/officeDocument/2006/relationships/hyperlink" Target="https://www.nasdaq.com/articles/meta-platforms-inc.-q3-2025-earnings-report" TargetMode="External"/><Relationship Id="rId15" Type="http://schemas.openxmlformats.org/officeDocument/2006/relationships/hyperlink" Target="https://www.noahwire.com" TargetMode="External"/><Relationship Id="rId16" Type="http://schemas.openxmlformats.org/officeDocument/2006/relationships/hyperlink" Target="https://finance.yahoo.com/news/meta-shares-slide-company-projects-2042127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