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breakthroughs in 2025 accelerate race towards artificial general intelligence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In 2025 the promise of artificial intelligence moved irreversibly from speculative fiction into operational reality, reshaping technology, capital flows, employment and everyday life. According to 36Kr's year‑end review, the year saw large language models (LLMs) and multimodal systems make leaps in reasoning and agentic behaviour that transformed industry conversations about the proximity of artificial general intelligence (AGI) and the first signs of artificial superintelligence (ASI). </w:t>
      </w:r>
      <w:hyperlink r:id="rId9">
        <w:r>
          <w:rPr>
            <w:color w:val="0000EE"/>
            <w:u w:val="single"/>
          </w:rPr>
          <w:t>[1]</w:t>
        </w:r>
      </w:hyperlink>
      <w:r/>
    </w:p>
    <w:p>
      <w:r/>
      <w:r>
        <w:t xml:space="preserve">Technical progress was conspicuous across several fronts: reasoning, multimodal processing and autonomous agents. Industry benchmarks captured that shift, Stanford's AI Index reported models surpassing human baselines on a range of tests, and specialised benchmarks such as MMMU, designed to probe interdisciplinary, image‑and‑text reasoning at university level, showed rapidly rising scores from major models. According to 36Kr, improvements from Google's Gemini and OpenAI's o3 series were particularly notable. </w:t>
      </w:r>
      <w:hyperlink r:id="rId9">
        <w:r>
          <w:rPr>
            <w:color w:val="0000EE"/>
            <w:u w:val="single"/>
          </w:rPr>
          <w:t>[1]</w:t>
        </w:r>
      </w:hyperlink>
      <w:r/>
    </w:p>
    <w:p>
      <w:r/>
      <w:r>
        <w:t xml:space="preserve">That technical advance was matched by a surge in funding and capital expenditure. Industry data show generative AI attracted roughly $33.9 billion in investment in 2025 while tech giants pushed capital expenditure toward an estimated $400 billion, prompting debate over bubbles and energy consumption. Morgan Stanley observed a parallel explosion in demand for custom silicon and ASIC development as reasoning workloads increased computational needs, underscoring that model progress is tightly coupled with infrastructure investment. </w:t>
      </w:r>
      <w:hyperlink r:id="rId9">
        <w:r>
          <w:rPr>
            <w:color w:val="0000EE"/>
            <w:u w:val="single"/>
          </w:rPr>
          <w:t>[1]</w:t>
        </w:r>
      </w:hyperlink>
      <w:hyperlink r:id="rId10">
        <w:r>
          <w:rPr>
            <w:color w:val="0000EE"/>
            <w:u w:val="single"/>
          </w:rPr>
          <w:t>[2]</w:t>
        </w:r>
      </w:hyperlink>
      <w:r/>
    </w:p>
    <w:p>
      <w:r/>
      <w:r>
        <w:t xml:space="preserve">The shift from chatbots to agentic systems also accelerated the practical deployment of AI. Goldman Sachs forecast that AI would evolve into "hybrid workers" collaborating with humans across industries, a trend visible in 2025 as agents and robotics moved into production, healthcare and knowledge work. Forbes and Global X further framed these agentic advances as logical stepping stones toward broader AGI capabilities and widespread, semi‑autonomous task performance. </w:t>
      </w:r>
      <w:hyperlink r:id="rId11">
        <w:r>
          <w:rPr>
            <w:color w:val="0000EE"/>
            <w:u w:val="single"/>
          </w:rPr>
          <w:t>[3]</w:t>
        </w:r>
      </w:hyperlink>
      <w:hyperlink r:id="rId12">
        <w:r>
          <w:rPr>
            <w:color w:val="0000EE"/>
            <w:u w:val="single"/>
          </w:rPr>
          <w:t>[4]</w:t>
        </w:r>
      </w:hyperlink>
      <w:hyperlink r:id="rId13">
        <w:r>
          <w:rPr>
            <w:color w:val="0000EE"/>
            <w:u w:val="single"/>
          </w:rPr>
          <w:t>[7]</w:t>
        </w:r>
      </w:hyperlink>
      <w:r/>
    </w:p>
    <w:p>
      <w:r/>
      <w:r>
        <w:t xml:space="preserve">Open‑source and non‑Western actors played a consequential role in this new landscape. 36Kr highlighted DeepSeek, whose R1 model passed peer review and drew attention in Nature, as a major dark horse, while community efforts around LLaMA, Mistral and other toolchains reduced the barrier to entry for engineering, fine‑tuning and local deployment. At the same time, forum discussions showed the limits of distilled, locally runnable models versus cloud‑scale variants, emphasising a continuing divide between accessible tools and state‑of‑the‑art systems. </w:t>
      </w:r>
      <w:hyperlink r:id="rId9">
        <w:r>
          <w:rPr>
            <w:color w:val="0000EE"/>
            <w:u w:val="single"/>
          </w:rPr>
          <w:t>[1]</w:t>
        </w:r>
      </w:hyperlink>
      <w:r/>
    </w:p>
    <w:p>
      <w:r/>
      <w:r>
        <w:t xml:space="preserve">The human and economic implications were stark. The OECD found nearly 40% of global employment is exposed to AI, with higher exposure in advanced economies where cognitive tasks predominate; policymakers and firms face the twin tasks of enabling productivity gains while managing workforce transition and inequality risks. Industry leaders’ rhetoric reflected both ambition and urgency: according to 36Kr, figures including Mark Zuckerberg and Elon Musk framed huge investments as preferable to falling behind, Zuckerberg saying he would rather "risk misinvesting hundreds of billions of dollars" than lag, and other CEOs offered a spectrum of timelines for AGI from imminent to multi‑year horizons. </w:t>
      </w:r>
      <w:hyperlink r:id="rId14">
        <w:r>
          <w:rPr>
            <w:color w:val="0000EE"/>
            <w:u w:val="single"/>
          </w:rPr>
          <w:t>[5]</w:t>
        </w:r>
      </w:hyperlink>
      <w:hyperlink r:id="rId9">
        <w:r>
          <w:rPr>
            <w:color w:val="0000EE"/>
            <w:u w:val="single"/>
          </w:rPr>
          <w:t>[1]</w:t>
        </w:r>
      </w:hyperlink>
      <w:r/>
    </w:p>
    <w:p>
      <w:r/>
      <w:r>
        <w:t xml:space="preserve">Voices inside the field remain divided over how far current architectures can go. While results on benchmarks and the proliferation of agentic capabilities have led some executives to declare AGI effectively achieved in narrow senses, prominent researchers such as Yann LeCun cautioned that autoregressive LLMs have limitations and will need richer sensory grounding and alternative architectures to reach true generality. The result is a contested but fast‑moving research agenda, with leading labs releasing major model updates at a cadence measured in weeks rather than years. </w:t>
      </w:r>
      <w:hyperlink r:id="rId9">
        <w:r>
          <w:rPr>
            <w:color w:val="0000EE"/>
            <w:u w:val="single"/>
          </w:rPr>
          <w:t>[1]</w:t>
        </w:r>
      </w:hyperlink>
      <w:hyperlink r:id="rId15">
        <w:r>
          <w:rPr>
            <w:color w:val="0000EE"/>
            <w:u w:val="single"/>
          </w:rPr>
          <w:t>[6]</w:t>
        </w:r>
      </w:hyperlink>
      <w:r/>
    </w:p>
    <w:p>
      <w:r/>
      <w:r>
        <w:t xml:space="preserve">If 2025 rewired expectations, the coming years will test whether those expectations are sustainable and societally manageable. Investors and corporates are doubling down on specialised hardware, agent platforms and expert models even as governments, academics and civil society push for governance, safety and equitable transition policies. According to reports from Morgan Stanley, Goldman Sachs, Forbes, the OECD and Global X, the race is now as much about infrastructure, labour strategy and regulation as it is about algorithms, and the winners will be those who align technical advance with economic resilience and public legitimacy. </w:t>
      </w:r>
      <w:hyperlink r:id="rId10">
        <w:r>
          <w:rPr>
            <w:color w:val="0000EE"/>
            <w:u w:val="single"/>
          </w:rPr>
          <w:t>[2]</w:t>
        </w:r>
      </w:hyperlink>
      <w:hyperlink r:id="rId11">
        <w:r>
          <w:rPr>
            <w:color w:val="0000EE"/>
            <w:u w:val="single"/>
          </w:rPr>
          <w:t>[3]</w:t>
        </w:r>
      </w:hyperlink>
      <w:hyperlink r:id="rId12">
        <w:r>
          <w:rPr>
            <w:color w:val="0000EE"/>
            <w:u w:val="single"/>
          </w:rPr>
          <w:t>[4]</w:t>
        </w:r>
      </w:hyperlink>
      <w:hyperlink r:id="rId14">
        <w:r>
          <w:rPr>
            <w:color w:val="0000EE"/>
            <w:u w:val="single"/>
          </w:rPr>
          <w:t>[5]</w:t>
        </w:r>
      </w:hyperlink>
      <w:hyperlink r:id="rId13">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(36Kr) - Paragraph 1, Paragraph 2, Paragraph 5, Paragraph 6, Paragraph 7</w:t>
      </w:r>
      <w:r/>
    </w:p>
    <w:p>
      <w:pPr>
        <w:pStyle w:val="ListBullet"/>
        <w:spacing w:line="240" w:lineRule="auto"/>
        <w:ind w:left="720"/>
      </w:pPr>
      <w:r/>
      <w:hyperlink r:id="rId10">
        <w:r>
          <w:rPr>
            <w:color w:val="0000EE"/>
            <w:u w:val="single"/>
          </w:rPr>
          <w:t>[2]</w:t>
        </w:r>
      </w:hyperlink>
      <w:r>
        <w:t xml:space="preserve"> (Morgan Stanley) - Paragraph 3, Paragraph 8</w:t>
      </w:r>
      <w:r/>
    </w:p>
    <w:p>
      <w:pPr>
        <w:pStyle w:val="ListBullet"/>
        <w:spacing w:line="240" w:lineRule="auto"/>
        <w:ind w:left="720"/>
      </w:pPr>
      <w:r/>
      <w:hyperlink r:id="rId11">
        <w:r>
          <w:rPr>
            <w:color w:val="0000EE"/>
            <w:u w:val="single"/>
          </w:rPr>
          <w:t>[3]</w:t>
        </w:r>
      </w:hyperlink>
      <w:r>
        <w:t xml:space="preserve"> (Goldman Sachs) - Paragraph 4, Paragraph 8</w:t>
      </w:r>
      <w:r/>
    </w:p>
    <w:p>
      <w:pPr>
        <w:pStyle w:val="ListBullet"/>
        <w:spacing w:line="240" w:lineRule="auto"/>
        <w:ind w:left="720"/>
      </w:pPr>
      <w:r/>
      <w:hyperlink r:id="rId12">
        <w:r>
          <w:rPr>
            <w:color w:val="0000EE"/>
            <w:u w:val="single"/>
          </w:rPr>
          <w:t>[4]</w:t>
        </w:r>
      </w:hyperlink>
      <w:r>
        <w:t xml:space="preserve"> (Forbes) - Paragraph 4, Paragraph 8</w:t>
      </w:r>
      <w:r/>
    </w:p>
    <w:p>
      <w:pPr>
        <w:pStyle w:val="ListBullet"/>
        <w:spacing w:line="240" w:lineRule="auto"/>
        <w:ind w:left="720"/>
      </w:pPr>
      <w:r/>
      <w:hyperlink r:id="rId14">
        <w:r>
          <w:rPr>
            <w:color w:val="0000EE"/>
            <w:u w:val="single"/>
          </w:rPr>
          <w:t>[5]</w:t>
        </w:r>
      </w:hyperlink>
      <w:r>
        <w:t xml:space="preserve"> (OECD) - Paragraph 6, Paragraph 8</w:t>
      </w:r>
      <w:r/>
    </w:p>
    <w:p>
      <w:pPr>
        <w:pStyle w:val="ListBullet"/>
        <w:spacing w:line="240" w:lineRule="auto"/>
        <w:ind w:left="720"/>
      </w:pPr>
      <w:r/>
      <w:hyperlink r:id="rId15">
        <w:r>
          <w:rPr>
            <w:color w:val="0000EE"/>
            <w:u w:val="single"/>
          </w:rPr>
          <w:t>[6]</w:t>
        </w:r>
      </w:hyperlink>
      <w:r>
        <w:t xml:space="preserve"> (Techaimag) - Paragraph 6</w:t>
      </w:r>
      <w:r/>
    </w:p>
    <w:p>
      <w:pPr>
        <w:pStyle w:val="ListBullet"/>
        <w:spacing w:line="240" w:lineRule="auto"/>
        <w:ind w:left="720"/>
      </w:pPr>
      <w:r/>
      <w:hyperlink r:id="rId13">
        <w:r>
          <w:rPr>
            <w:color w:val="0000EE"/>
            <w:u w:val="single"/>
          </w:rPr>
          <w:t>[7]</w:t>
        </w:r>
      </w:hyperlink>
      <w:r>
        <w:t xml:space="preserve"> (Global X) - Paragraph 4,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https://eu.36kr.com/en/p/3615979570693379</w:t>
        </w:r>
      </w:hyperlink>
      <w:r>
        <w:t xml:space="preserve"> - Please view link - unable to able to access data</w:t>
      </w:r>
      <w:r/>
    </w:p>
    <w:p>
      <w:pPr>
        <w:pStyle w:val="ListNumber"/>
        <w:spacing w:line="240" w:lineRule="auto"/>
        <w:ind w:left="720"/>
      </w:pPr>
      <w:r/>
      <w:hyperlink r:id="rId10">
        <w:r>
          <w:rPr>
            <w:color w:val="0000EE"/>
            <w:u w:val="single"/>
          </w:rPr>
          <w:t>https://www.morganstanley.com/insights/articles/ai-trends-reasoning-frontier-models-2025-tmt</w:t>
        </w:r>
      </w:hyperlink>
      <w:r>
        <w:t xml:space="preserve"> - In 2025, AI reasoning emerged as a significant driver of increased computational demand, leading to a surge in custom silicon development tailored for AI tasks. This shift prompted companies to invest in specialized hardware, such as application-specific integrated circuits (ASICs), to enhance AI performance and efficiency. The growing need for advanced AI capabilities underscored the importance of robust infrastructure to support the evolving demands of AI applications.</w:t>
      </w:r>
      <w:r/>
    </w:p>
    <w:p>
      <w:pPr>
        <w:pStyle w:val="ListNumber"/>
        <w:spacing w:line="240" w:lineRule="auto"/>
        <w:ind w:left="720"/>
      </w:pPr>
      <w:r/>
      <w:hyperlink r:id="rId11">
        <w:r>
          <w:rPr>
            <w:color w:val="0000EE"/>
            <w:u w:val="single"/>
          </w:rPr>
          <w:t>https://www.goldmansachs.com/insights/articles/what-to-expect-from-ai-in-2025-hybrid-workers-robotics-expert-models</w:t>
        </w:r>
      </w:hyperlink>
      <w:r>
        <w:t xml:space="preserve"> - Goldman Sachs forecasts that by 2025, AI systems will evolve into hybrid workers, collaborating seamlessly with humans across various industries. This integration is expected to revolutionize workplaces, with AI agents capable of executing complex tasks autonomously. The development of advanced AI models, coupled with robotics, will drive significant changes in employment structures and operational efficiencies, highlighting the transformative potential of AI in the workforce.</w:t>
      </w:r>
      <w:r/>
    </w:p>
    <w:p>
      <w:pPr>
        <w:pStyle w:val="ListNumber"/>
        <w:spacing w:line="240" w:lineRule="auto"/>
        <w:ind w:left="720"/>
      </w:pPr>
      <w:r/>
      <w:hyperlink r:id="rId12">
        <w:r>
          <w:rPr>
            <w:color w:val="0000EE"/>
            <w:u w:val="single"/>
          </w:rPr>
          <w:t>https://www.forbes.com/sites/lanceeliot/2025/06/05/future-forecasting-the-yearly-path-that-will-advance-ai-to-reach-agi-by-2040/</w:t>
        </w:r>
      </w:hyperlink>
      <w:r>
        <w:t xml:space="preserve"> - Forbes outlines a projected timeline for AI advancements leading to Artificial General Intelligence (AGI) by 2040. Key milestones include the development of large-scale world models by 2027, enabling AI to perform complex tasks with minimal data. By 2028, AI agents are anticipated to gain widespread acceptance, executing multi-step tasks semi-autonomously in both digital and physical domains. These advancements are expected to significantly impact various sectors, including education and industry.</w:t>
      </w:r>
      <w:r/>
    </w:p>
    <w:p>
      <w:pPr>
        <w:pStyle w:val="ListNumber"/>
        <w:spacing w:line="240" w:lineRule="auto"/>
        <w:ind w:left="720"/>
      </w:pPr>
      <w:r/>
      <w:hyperlink r:id="rId14">
        <w:r>
          <w:rPr>
            <w:color w:val="0000EE"/>
            <w:u w:val="single"/>
          </w:rPr>
          <w:t>https://www.oecd.org/content/dam/oecd/en/publications/reports/2025/05/the-adoption-of-artificial-intelligence-in-firms_8fab986b/f9ef33c3-en.pdf</w:t>
        </w:r>
      </w:hyperlink>
      <w:r>
        <w:t xml:space="preserve"> - The OECD report examines the adoption of AI across firms, revealing that nearly 40% of global employment is exposed to AI, with advanced economies experiencing higher exposure due to the prevalence of cognitive-task-oriented jobs. The study highlights the varying rates of AI adoption and underscores the need for policies that address the challenges and opportunities presented by AI integration in the workforce.</w:t>
      </w:r>
      <w:r/>
    </w:p>
    <w:p>
      <w:pPr>
        <w:pStyle w:val="ListNumber"/>
        <w:spacing w:line="240" w:lineRule="auto"/>
        <w:ind w:left="720"/>
      </w:pPr>
      <w:r/>
      <w:hyperlink r:id="rId15">
        <w:r>
          <w:rPr>
            <w:color w:val="0000EE"/>
            <w:u w:val="single"/>
          </w:rPr>
          <w:t>https://www.techaimag.com/agi-race-openai-deepmind-anthropic-2025/</w:t>
        </w:r>
      </w:hyperlink>
      <w:r>
        <w:t xml:space="preserve"> - The article discusses the advancements in AI models by 2025, highlighting OpenAI's GPT-5, DeepMind's Gemini 2.5, and Anthropic's Claude 4. These models demonstrate significant progress in reasoning, multimodal processing, and alignment, positioning them as strong contenders in the pursuit of Artificial General Intelligence (AGI). The developments underscore the rapid evolution of AI capabilities and the competitive landscape among leading AI research organizations.</w:t>
      </w:r>
      <w:r/>
    </w:p>
    <w:p>
      <w:pPr>
        <w:pStyle w:val="ListNumber"/>
        <w:spacing w:line="240" w:lineRule="auto"/>
        <w:ind w:left="720"/>
      </w:pPr>
      <w:r/>
      <w:hyperlink r:id="rId13">
        <w:r>
          <w:rPr>
            <w:color w:val="0000EE"/>
            <w:u w:val="single"/>
          </w:rPr>
          <w:t>https://www.globalxetfs.com/content/files/Artificial-Intelligence-Five-Trends-to-Watch-in-2025-Final.pdf</w:t>
        </w:r>
      </w:hyperlink>
      <w:r>
        <w:t xml:space="preserve"> - Global X Insights identifies five key trends in AI for 2025: the explosive growth of AI adoption, unprecedented investment in AI infrastructure, the rise of AI agents, the integration of AI in various industries, and the ethical considerations surrounding AI development. The report emphasizes the transformative impact of AI across sectors and the importance of addressing challenges related to governance, ethics, and societal implications.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u.36kr.com/en/p/3615979570693379" TargetMode="External"/><Relationship Id="rId10" Type="http://schemas.openxmlformats.org/officeDocument/2006/relationships/hyperlink" Target="https://www.morganstanley.com/insights/articles/ai-trends-reasoning-frontier-models-2025-tmt" TargetMode="External"/><Relationship Id="rId11" Type="http://schemas.openxmlformats.org/officeDocument/2006/relationships/hyperlink" Target="https://www.goldmansachs.com/insights/articles/what-to-expect-from-ai-in-2025-hybrid-workers-robotics-expert-models" TargetMode="External"/><Relationship Id="rId12" Type="http://schemas.openxmlformats.org/officeDocument/2006/relationships/hyperlink" Target="https://www.forbes.com/sites/lanceeliot/2025/06/05/future-forecasting-the-yearly-path-that-will-advance-ai-to-reach-agi-by-2040/" TargetMode="External"/><Relationship Id="rId13" Type="http://schemas.openxmlformats.org/officeDocument/2006/relationships/hyperlink" Target="https://www.globalxetfs.com/content/files/Artificial-Intelligence-Five-Trends-to-Watch-in-2025-Final.pdf" TargetMode="External"/><Relationship Id="rId14" Type="http://schemas.openxmlformats.org/officeDocument/2006/relationships/hyperlink" Target="https://www.oecd.org/content/dam/oecd/en/publications/reports/2025/05/the-adoption-of-artificial-intelligence-in-firms_8fab986b/f9ef33c3-en.pdf" TargetMode="External"/><Relationship Id="rId15" Type="http://schemas.openxmlformats.org/officeDocument/2006/relationships/hyperlink" Target="https://www.techaimag.com/agi-race-openai-deepmind-anthropic-202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