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15th Five-Year Plan pushes hybrid AI and human-centric models for societal transformation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China's forthcoming 15th Five-Year Plan (2026–30) elevates artificial intelligence from a sectoral priority to a foundational economic strategy, promoting an "AI+" initiative that seeks deep integration of AI across industry and society. According to China Daily, proponents argue that blending public large language models with locally deployed private models , a Hybrid AI approach , can reconcile the breadth of cloud-based knowledge with the privacy, security and personalisation advantages of on-device computing. </w:t>
      </w:r>
      <w:hyperlink r:id="rId9">
        <w:r>
          <w:rPr>
            <w:color w:val="0000EE"/>
            <w:u w:val="single"/>
          </w:rPr>
          <w:t>[1]</w:t>
        </w:r>
      </w:hyperlink>
      <w:hyperlink r:id="rId9">
        <w:r>
          <w:rPr>
            <w:color w:val="0000EE"/>
            <w:u w:val="single"/>
          </w:rPr>
          <w:t>[2]</w:t>
        </w:r>
      </w:hyperlink>
      <w:r/>
    </w:p>
    <w:p>
      <w:r/>
      <w:r>
        <w:t xml:space="preserve">Hybrid AI is described as pairing the "vast knowledge of public AI" with private models run on devices, edge nodes or private clouds so systems can learn from local data while protecting sensitive information. This architecture, China Daily notes, is presented as a route to broaden adoption by addressing the data-access limitations and privacy concerns that constrain public large language models. </w:t>
      </w:r>
      <w:hyperlink r:id="rId9">
        <w:r>
          <w:rPr>
            <w:color w:val="0000EE"/>
            <w:u w:val="single"/>
          </w:rPr>
          <w:t>[1]</w:t>
        </w:r>
      </w:hyperlink>
      <w:hyperlink r:id="rId9">
        <w:r>
          <w:rPr>
            <w:color w:val="0000EE"/>
            <w:u w:val="single"/>
          </w:rPr>
          <w:t>[2]</w:t>
        </w:r>
      </w:hyperlink>
      <w:r/>
    </w:p>
    <w:p>
      <w:r/>
      <w:r>
        <w:t xml:space="preserve">The concept extends into consumer-facing visions of "Personal AI Super Agent" technology: AI that can "see what you see, hear what you hear and memorize what you have experienced" by orchestrating across smartphones, wearables, ambient devices and trusted computing hubs. The argument advanced is that continuous, personalised learning could yield a "Personal AI Twin" that "think[s] as you would think, and act[s] as you would act", while preserving user control over private data. China Daily characterised these claims as the pathway to "democratising AI". </w:t>
      </w:r>
      <w:hyperlink r:id="rId9">
        <w:r>
          <w:rPr>
            <w:color w:val="0000EE"/>
            <w:u w:val="single"/>
          </w:rPr>
          <w:t>[1]</w:t>
        </w:r>
      </w:hyperlink>
      <w:hyperlink r:id="rId9">
        <w:r>
          <w:rPr>
            <w:color w:val="0000EE"/>
            <w:u w:val="single"/>
          </w:rPr>
          <w:t>[2]</w:t>
        </w:r>
      </w:hyperlink>
      <w:r/>
    </w:p>
    <w:p>
      <w:r/>
      <w:r>
        <w:t xml:space="preserve">The same hybrid logic is applied to enterprises, where data and domain knowledge can be reorganised into repeatable, scalable solutions. China Daily describes an "Enterprise AI Super Agent" that would coordinate domain agents across functions such as sales, R&amp;D and supply chains to convert organisational data into insights and automated business processes. The piece cites Lenovo's claimed experience, saying its internal agents and the super agent "Lenovo Lexiang" increased its order conversion rate in China by 30 percent since launch, while improving employee efficiency. The account frames such deployments as a shift from piecemeal projects to holistic value‑chain transformation. </w:t>
      </w:r>
      <w:hyperlink r:id="rId9">
        <w:r>
          <w:rPr>
            <w:color w:val="0000EE"/>
            <w:u w:val="single"/>
          </w:rPr>
          <w:t>[1]</w:t>
        </w:r>
      </w:hyperlink>
      <w:r/>
    </w:p>
    <w:p>
      <w:r/>
      <w:r>
        <w:t xml:space="preserve">China's policy architecture dovetails with these corporate trajectories. Government commentary in China Daily has outlined ambitions in the 15th Five‑Year Plan to accelerate AI, robotics and information and communications technology, and to strengthen breakthroughs in foundational models and humanoid robots. Industry ministers and science officials have emphasised building a resilient manufacturing base and an innovation ecosystem to support AI-driven industrial upgrading. Government data and planning documents quoted by China Daily show a rapid expansion of the AI sector, with thousands of enterprises and substantial regional clusters driving growth. </w:t>
      </w:r>
      <w:hyperlink r:id="rId10">
        <w:r>
          <w:rPr>
            <w:color w:val="0000EE"/>
            <w:u w:val="single"/>
          </w:rPr>
          <w:t>[3]</w:t>
        </w:r>
      </w:hyperlink>
      <w:hyperlink r:id="rId11">
        <w:r>
          <w:rPr>
            <w:color w:val="0000EE"/>
            <w:u w:val="single"/>
          </w:rPr>
          <w:t>[4]</w:t>
        </w:r>
      </w:hyperlink>
      <w:hyperlink r:id="rId12">
        <w:r>
          <w:rPr>
            <w:color w:val="0000EE"/>
            <w:u w:val="single"/>
          </w:rPr>
          <w:t>[5]</w:t>
        </w:r>
      </w:hyperlink>
      <w:r/>
    </w:p>
    <w:p>
      <w:r/>
      <w:r>
        <w:t xml:space="preserve">Regional strategies reinforce the national push. Reporting on municipal blueprints shows pilot zones and city-level initiatives , for example in Beijing's Haidian and Changping districts , designed to knit together innovation, capital and talent for future industries. Local authorities have highlighted large revenue pools in core AI clusters and projected continued expansion, underscoring why firms and policy-makers alike prioritise hybrid architectures that can scale across consumer and industrial settings. </w:t>
      </w:r>
      <w:hyperlink r:id="rId13">
        <w:r>
          <w:rPr>
            <w:color w:val="0000EE"/>
            <w:u w:val="single"/>
          </w:rPr>
          <w:t>[6]</w:t>
        </w:r>
      </w:hyperlink>
      <w:r/>
    </w:p>
    <w:p>
      <w:r/>
      <w:r>
        <w:t xml:space="preserve">Proponents portray the hybrid, human-centric model as a new productive force that reorients the human–machine relationship from "humans adapting to machines" to "machines serving humans". China Daily and allied pieces warn, however, that this transformation is double-edged: the same technologies that free people from repetitive tasks also create risks , privacy breaches, AI-generated fakery, fraud and the potential to widen digital divides. The commentary urges multi‑party governance, ethical design and inclusion measures to ensure AI supports disadvantaged groups and sustainable development. </w:t>
      </w:r>
      <w:hyperlink r:id="rId9">
        <w:r>
          <w:rPr>
            <w:color w:val="0000EE"/>
            <w:u w:val="single"/>
          </w:rPr>
          <w:t>[1]</w:t>
        </w:r>
      </w:hyperlink>
      <w:hyperlink r:id="rId12">
        <w:r>
          <w:rPr>
            <w:color w:val="0000EE"/>
            <w:u w:val="single"/>
          </w:rPr>
          <w:t>[5]</w:t>
        </w:r>
      </w:hyperlink>
      <w:r/>
    </w:p>
    <w:p>
      <w:r/>
      <w:r>
        <w:t xml:space="preserve">If China's "AI+" ambitions are to translate into broad societal benefit, the policy papers and industry accounts together indicate two parallel imperatives: build technical architectures that combine cloud scale with local trust, and construct governance frameworks that manage harm while promoting access. According to China Daily and reporting on the 15th Five‑Year Plan, this combination is being actively pursued through government planning, municipal pilot zones and corporate initiatives such as Lenovo's Responsible AI Committee and its "Human‑Centric AI Development and Governance Initiative", which the company says had attracted 50 partners by November 2024. The challenge for policymakers and industry now is to ensure those ambitions deliver equitable, verifiable outcomes rather than simply accelerating capability. </w:t>
      </w:r>
      <w:hyperlink r:id="rId9">
        <w:r>
          <w:rPr>
            <w:color w:val="0000EE"/>
            <w:u w:val="single"/>
          </w:rPr>
          <w:t>[1]</w:t>
        </w:r>
      </w:hyperlink>
      <w:hyperlink r:id="rId10">
        <w:r>
          <w:rPr>
            <w:color w:val="0000EE"/>
            <w:u w:val="single"/>
          </w:rPr>
          <w:t>[3]</w:t>
        </w:r>
      </w:hyperlink>
      <w:hyperlink r:id="rId11">
        <w:r>
          <w:rPr>
            <w:color w:val="0000EE"/>
            <w:u w:val="single"/>
          </w:rPr>
          <w:t>[4]</w:t>
        </w:r>
      </w:hyperlink>
      <w:hyperlink r:id="rId13">
        <w:r>
          <w:rPr>
            <w:color w:val="0000EE"/>
            <w:u w:val="single"/>
          </w:rPr>
          <w:t>[6]</w:t>
        </w:r>
      </w:hyperlink>
      <w:hyperlink r:id="rId14">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(China Daily) - Paragraph 1, Paragraph 2, Paragraph 3, Paragraph 4, Paragraph 7, Paragraph 8 </w:t>
      </w:r>
      <w:r/>
    </w:p>
    <w:p>
      <w:pPr>
        <w:pStyle w:val="ListBullet"/>
        <w:spacing w:line="240" w:lineRule="auto"/>
        <w:ind w:left="720"/>
      </w:pPr>
      <w:r/>
      <w:hyperlink r:id="rId9">
        <w:r>
          <w:rPr>
            <w:color w:val="0000EE"/>
            <w:u w:val="single"/>
          </w:rPr>
          <w:t>[2]</w:t>
        </w:r>
      </w:hyperlink>
      <w:r>
        <w:t xml:space="preserve"> (China Daily summary) - Paragraph 1, Paragraph 2, Paragraph 3 </w:t>
      </w:r>
      <w:r/>
    </w:p>
    <w:p>
      <w:pPr>
        <w:pStyle w:val="ListBullet"/>
        <w:spacing w:line="240" w:lineRule="auto"/>
        <w:ind w:left="720"/>
      </w:pPr>
      <w:r/>
      <w:hyperlink r:id="rId10">
        <w:r>
          <w:rPr>
            <w:color w:val="0000EE"/>
            <w:u w:val="single"/>
          </w:rPr>
          <w:t>[3]</w:t>
        </w:r>
      </w:hyperlink>
      <w:r>
        <w:t xml:space="preserve"> (China Daily - government reporting) - Paragraph 5, Paragraph 8 </w:t>
      </w:r>
      <w:r/>
    </w:p>
    <w:p>
      <w:pPr>
        <w:pStyle w:val="ListBullet"/>
        <w:spacing w:line="240" w:lineRule="auto"/>
        <w:ind w:left="720"/>
      </w:pPr>
      <w:r/>
      <w:hyperlink r:id="rId11">
        <w:r>
          <w:rPr>
            <w:color w:val="0000EE"/>
            <w:u w:val="single"/>
          </w:rPr>
          <w:t>[4]</w:t>
        </w:r>
      </w:hyperlink>
      <w:r>
        <w:t xml:space="preserve"> (China Daily - AI development) - Paragraph 5, Paragraph 8 </w:t>
      </w:r>
      <w:r/>
    </w:p>
    <w:p>
      <w:pPr>
        <w:pStyle w:val="ListBullet"/>
        <w:spacing w:line="240" w:lineRule="auto"/>
        <w:ind w:left="720"/>
      </w:pPr>
      <w:r/>
      <w:hyperlink r:id="rId12">
        <w:r>
          <w:rPr>
            <w:color w:val="0000EE"/>
            <w:u w:val="single"/>
          </w:rPr>
          <w:t>[5]</w:t>
        </w:r>
      </w:hyperlink>
      <w:r>
        <w:t xml:space="preserve"> (China Daily Asia) - Paragraph 5, Paragraph 7 </w:t>
      </w:r>
      <w:r/>
    </w:p>
    <w:p>
      <w:pPr>
        <w:pStyle w:val="ListBullet"/>
        <w:spacing w:line="240" w:lineRule="auto"/>
        <w:ind w:left="720"/>
      </w:pPr>
      <w:r/>
      <w:hyperlink r:id="rId13">
        <w:r>
          <w:rPr>
            <w:color w:val="0000EE"/>
            <w:u w:val="single"/>
          </w:rPr>
          <w:t>[6]</w:t>
        </w:r>
      </w:hyperlink>
      <w:r>
        <w:t xml:space="preserve"> (iTiger) - Paragraph 6, Paragraph 8 </w:t>
      </w:r>
      <w:r/>
    </w:p>
    <w:p>
      <w:pPr>
        <w:pStyle w:val="ListBullet"/>
        <w:spacing w:line="240" w:lineRule="auto"/>
        <w:ind w:left="720"/>
      </w:pPr>
      <w:r/>
      <w:hyperlink r:id="rId14">
        <w:r>
          <w:rPr>
            <w:color w:val="0000EE"/>
            <w:u w:val="single"/>
          </w:rPr>
          <w:t>[7]</w:t>
        </w:r>
      </w:hyperlink>
      <w:r>
        <w:t xml:space="preserve"> (China Briefing)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https://www.chinadaily.com.cn/a/202512/29/WS6951de39a310d6866eb30e99.html</w:t>
        </w:r>
      </w:hyperlink>
      <w:r>
        <w:t xml:space="preserve"> - Please view link - unable to able to access data</w:t>
      </w:r>
      <w:r/>
    </w:p>
    <w:p>
      <w:pPr>
        <w:pStyle w:val="ListNumber"/>
        <w:spacing w:line="240" w:lineRule="auto"/>
        <w:ind w:left="720"/>
      </w:pPr>
      <w:r/>
      <w:hyperlink r:id="rId9">
        <w:r>
          <w:rPr>
            <w:color w:val="0000EE"/>
            <w:u w:val="single"/>
          </w:rPr>
          <w:t>https://www.chinadaily.com.cn/a/202512/29/WS6951de39a310d6866eb30e99.html</w:t>
        </w:r>
      </w:hyperlink>
      <w:r>
        <w:t xml:space="preserve"> - The article discusses China's 'AI+' initiative, a key component of the 15th Five-Year Plan (2026–30), aiming to deeply integrate artificial intelligence across all industries. It highlights the limitations of public large language models due to privacy and data security concerns and introduces Hybrid AI as a solution. Hybrid AI combines cloud-based public AI with private AI deployed locally on devices or in private clouds, offering both vast knowledge and enhanced security. The piece also explores the concept of Personal AI Super Agents and Enterprise AI Super Agents, which orchestrate across devices to provide personalized and enterprise-wide AI solutions, respectively.</w:t>
      </w:r>
      <w:r/>
    </w:p>
    <w:p>
      <w:pPr>
        <w:pStyle w:val="ListNumber"/>
        <w:spacing w:line="240" w:lineRule="auto"/>
        <w:ind w:left="720"/>
      </w:pPr>
      <w:r/>
      <w:hyperlink r:id="rId10">
        <w:r>
          <w:rPr>
            <w:color w:val="0000EE"/>
            <w:u w:val="single"/>
          </w:rPr>
          <w:t>https://govt.chinadaily.com.cn/s/202509/09/WS68bf907f498e368550334e48/china-to-boost-ai-robotics-and-ict-in-15th-five-year-plan.html</w:t>
        </w:r>
      </w:hyperlink>
      <w:r>
        <w:t xml:space="preserve"> - This article reports on China's plan to accelerate the development of emerging industries, including artificial intelligence (AI) and robotics, during the 15th Five-Year Plan (2026–30). Li Lecheng, Minister of Industry and Information Technology, emphasized the need for breakthroughs in key technologies and the integration of technological innovation with industrial development. The article underscores the importance of maintaining a reasonable share of manufacturing and enhancing the resilience and security of industrial and supply chains.</w:t>
      </w:r>
      <w:r/>
    </w:p>
    <w:p>
      <w:pPr>
        <w:pStyle w:val="ListNumber"/>
        <w:spacing w:line="240" w:lineRule="auto"/>
        <w:ind w:left="720"/>
      </w:pPr>
      <w:r/>
      <w:hyperlink r:id="rId11">
        <w:r>
          <w:rPr>
            <w:color w:val="0000EE"/>
            <w:u w:val="single"/>
          </w:rPr>
          <w:t>https://www.chinadaily.com.cn/a/202510/24/WS68fb1382a310f735438b6be6.html</w:t>
        </w:r>
      </w:hyperlink>
      <w:r>
        <w:t xml:space="preserve"> - The article outlines China's strategy to strengthen the development of AI technologies during the 15th Five-Year Plan period (2026–30). Minister of Science and Technology Yin Hejun highlighted the government's commitment to fostering a favorable innovation ecosystem for AI, leading to significant breakthroughs in foundational models and humanoid robots. The article also notes that by the end of the previous year, the number of AI enterprises in China had surpassed 4,500, reflecting rapid industry growth.</w:t>
      </w:r>
      <w:r/>
    </w:p>
    <w:p>
      <w:pPr>
        <w:pStyle w:val="ListNumber"/>
        <w:spacing w:line="240" w:lineRule="auto"/>
        <w:ind w:left="720"/>
      </w:pPr>
      <w:r/>
      <w:hyperlink r:id="rId12">
        <w:r>
          <w:rPr>
            <w:color w:val="0000EE"/>
            <w:u w:val="single"/>
          </w:rPr>
          <w:t>https://www.chinadailyasia.com/article/625068</w:t>
        </w:r>
      </w:hyperlink>
      <w:r>
        <w:t xml:space="preserve"> - This piece discusses China's focus on innovation and AI in its 2026 economic agenda, as outlined in the 15th Five-Year Plan (2026–30). Policymakers aim to accelerate the construction of a modern industrial system anchored by advanced manufacturing, including upgrading traditional sectors with smart technologies like AI. The article also mentions the expansion of strategic-emerging industries such as electric vehicles and advanced robotics, which accounted for nearly 14 percent of GDP in 2024.</w:t>
      </w:r>
      <w:r/>
    </w:p>
    <w:p>
      <w:pPr>
        <w:pStyle w:val="ListNumber"/>
        <w:spacing w:line="240" w:lineRule="auto"/>
        <w:ind w:left="720"/>
      </w:pPr>
      <w:r/>
      <w:hyperlink r:id="rId13">
        <w:r>
          <w:rPr>
            <w:color w:val="0000EE"/>
            <w:u w:val="single"/>
          </w:rPr>
          <w:t>https://www.itiger.com/news/1150613021</w:t>
        </w:r>
      </w:hyperlink>
      <w:r>
        <w:t xml:space="preserve"> - The article details Beijing's future industry blueprint, highlighting strategic moves for the 15th Five-Year Plan. It mentions the establishment of municipal-level future industry pilot zones in Haidian and Changping, fostering an integrated ecosystem of innovation, industry, capital, and talent. The piece also notes that Beijing's core AI industry reached ¥215.22 billion in the first half of 2025, with annual revenue projected to surpass ¥450 billion, solidifying its status as China's 'AI capital'.</w:t>
      </w:r>
      <w:r/>
    </w:p>
    <w:p>
      <w:pPr>
        <w:pStyle w:val="ListNumber"/>
        <w:spacing w:line="240" w:lineRule="auto"/>
        <w:ind w:left="720"/>
      </w:pPr>
      <w:r/>
      <w:hyperlink r:id="rId14">
        <w:r>
          <w:rPr>
            <w:color w:val="0000EE"/>
            <w:u w:val="single"/>
          </w:rPr>
          <w:t>https://www.china-briefing.com/news/chinas-15th-five-year-plan-what-we-know-so-far/</w:t>
        </w:r>
      </w:hyperlink>
      <w:r>
        <w:t xml:space="preserve"> - This article provides an overview of China's 15th Five-Year Plan (2026–30), focusing on strategic priorities and development goals. It highlights the emphasis on new quality productive forces, including AI, to drive economic upgrading. The piece also discusses the promotion of the 'AI Plus' initiative, aiming to integrate AI across various industries to enhance automation, boost productivity, and accelerate digital transformation. The plan is expected to dedicate significant space to the development of AI and supporting industries.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inadaily.com.cn/a/202512/29/WS6951de39a310d6866eb30e99.html" TargetMode="External"/><Relationship Id="rId10" Type="http://schemas.openxmlformats.org/officeDocument/2006/relationships/hyperlink" Target="https://govt.chinadaily.com.cn/s/202509/09/WS68bf907f498e368550334e48/china-to-boost-ai-robotics-and-ict-in-15th-five-year-plan.html" TargetMode="External"/><Relationship Id="rId11" Type="http://schemas.openxmlformats.org/officeDocument/2006/relationships/hyperlink" Target="https://www.chinadaily.com.cn/a/202510/24/WS68fb1382a310f735438b6be6.html" TargetMode="External"/><Relationship Id="rId12" Type="http://schemas.openxmlformats.org/officeDocument/2006/relationships/hyperlink" Target="https://www.chinadailyasia.com/article/625068" TargetMode="External"/><Relationship Id="rId13" Type="http://schemas.openxmlformats.org/officeDocument/2006/relationships/hyperlink" Target="https://www.itiger.com/news/1150613021" TargetMode="External"/><Relationship Id="rId14" Type="http://schemas.openxmlformats.org/officeDocument/2006/relationships/hyperlink" Target="https://www.china-briefing.com/news/chinas-15th-five-year-plan-what-we-know-so-far/"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