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redefine AI adoption with new creative, discovery, and infrastructure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Industry leaders predict 2026 will be a turning point in how brands create, are discovered and manage the data that powers AI, arguing that the next year will separate organisations that merely pilot AI from those that operationalise it at scale. According to interviews published by IntelligentCIO, executives from The Brief, Storyblok and Couchbase say three intertwined shifts will define the landscape: a new creative class that pairs human craft with machine scale; the migration of discovery from links and search rankings to conversational AI agents; and the movement from experimental projects to enterprise-wide deployments. </w:t>
      </w:r>
      <w:hyperlink r:id="rId9">
        <w:r>
          <w:rPr>
            <w:color w:val="0000EE"/>
            <w:u w:val="single"/>
          </w:rPr>
          <w:t>[1]</w:t>
        </w:r>
      </w:hyperlink>
      <w:hyperlink r:id="rId9">
        <w:r>
          <w:rPr>
            <w:color w:val="0000EE"/>
            <w:u w:val="single"/>
          </w:rPr>
          <w:t>[2]</w:t>
        </w:r>
      </w:hyperlink>
      <w:r/>
    </w:p>
    <w:p>
      <w:r/>
      <w:r>
        <w:t xml:space="preserve">On creativity, the consensus is that machine-generated volume has produced what some describe as "Synthetic Sameness Fatigue", and that competitive advantage will lie in reasserting human judgement. Tammy H. Nam, CEO of The Brief, told IntelligentCIO that creative directors will evolve into "Prompt Architects", orchestrating collaboration between people and models, while marketers who treat AI as a co-pilot , not a replacement , will protect storytelling, emotion and curated imperfection as brand assets. Industry data cited in those interviews, including the Kantar Media Reactions 2025 report, underlines the reputational risks of fully automated creative strategies, with more than 60% of consumers concerned about misleading AI-driven ads. </w:t>
      </w:r>
      <w:hyperlink r:id="rId9">
        <w:r>
          <w:rPr>
            <w:color w:val="0000EE"/>
            <w:u w:val="single"/>
          </w:rPr>
          <w:t>[1]</w:t>
        </w:r>
      </w:hyperlink>
      <w:r/>
    </w:p>
    <w:p>
      <w:r/>
      <w:r>
        <w:t xml:space="preserve">Discovery is being recast as an outcomes problem rather than a rankings problem. Dominik Angerer, Storyblok’s CEO and co-founder, warned that as users increasingly adopt chatbots, multimodal assistants and AI agents, optimisation for traditional search engines will no longer suffice; brands will need to master "Generative Experience Optimisation" and ensure content is current, structured and semantically rich so it can be interpreted and recommended by agents. IntelligentCIO coverage argues this creates an existential test for marketers: stale product specs, outdated FAQs or inconsistent data will directly erode visibility in AI-driven recommendations. </w:t>
      </w:r>
      <w:hyperlink r:id="rId9">
        <w:r>
          <w:rPr>
            <w:color w:val="0000EE"/>
            <w:u w:val="single"/>
          </w:rPr>
          <w:t>[1]</w:t>
        </w:r>
      </w:hyperlink>
      <w:hyperlink r:id="rId9">
        <w:r>
          <w:rPr>
            <w:color w:val="0000EE"/>
            <w:u w:val="single"/>
          </w:rPr>
          <w:t>[2]</w:t>
        </w:r>
      </w:hyperlink>
      <w:r/>
    </w:p>
    <w:p>
      <w:r/>
      <w:r>
        <w:t xml:space="preserve">That technical requirement points straight at content architecture. Storyblok champions composable content systems that separate presentation from meaning, and the company says tools that add vector layers and automate content orchestration will become essential to eliminate "content debt" and enable real-time personalisation. According to the Storyblok commentary, features such as Strata (a vector data layer) and FlowMotion (workflow automation) are examples of how CMS platforms are adapting to make content both machine-consumable and rapidly updatable. </w:t>
      </w:r>
      <w:hyperlink r:id="rId9">
        <w:r>
          <w:rPr>
            <w:color w:val="0000EE"/>
            <w:u w:val="single"/>
          </w:rPr>
          <w:t>[1]</w:t>
        </w:r>
      </w:hyperlink>
      <w:hyperlink r:id="rId9">
        <w:r>
          <w:rPr>
            <w:color w:val="0000EE"/>
            <w:u w:val="single"/>
          </w:rPr>
          <w:t>[2]</w:t>
        </w:r>
      </w:hyperlink>
      <w:r/>
    </w:p>
    <w:p>
      <w:r/>
      <w:r>
        <w:t xml:space="preserve">Enterprises moving beyond pilots will demand robust agent governance and retrieval strategies. Dataiku's recent launch of Agent Hub illustrates a concerted effort to centralise the lifecycle of AI agents , from creation to monitoring , so organisations can scale agents without fragmenting ownership or visibility. Similarly, vendor work on Retrieval-Augmented Generation architectures aims to bind models to up-to-date private data sources so generative outputs remain accurate and auditable. The IntelligentCIO reporting highlights both trends as integral to turning pilot projects into measurable business value. </w:t>
      </w:r>
      <w:hyperlink r:id="rId10">
        <w:r>
          <w:rPr>
            <w:color w:val="0000EE"/>
            <w:u w:val="single"/>
          </w:rPr>
          <w:t>[4]</w:t>
        </w:r>
      </w:hyperlink>
      <w:hyperlink r:id="rId11">
        <w:r>
          <w:rPr>
            <w:color w:val="0000EE"/>
            <w:u w:val="single"/>
          </w:rPr>
          <w:t>[7]</w:t>
        </w:r>
      </w:hyperlink>
      <w:r/>
    </w:p>
    <w:p>
      <w:r/>
      <w:r>
        <w:t xml:space="preserve">Underlying all of this is an infrastructure race. Couchbase’s co-founder Steve Yen argues that a temporary oversupply of GPU capacity following the next cooling of AI hype could democratise high-performance compute, enabling broader access to large models and vector indexing. Industry moves to expand hyperscale capacity and edge compute capacity support that view: Teraco’s announced 40MW hyperscale data-centre expansion in South Africa (scheduled for completion in 2026) and cloud vendors’ push to provide elastic container and pod scaling demonstrate how compute and networking are being provisioned for AI at scale. Huawei Cloud and others are positioning one‑stop platforms to help enterprises spin up AI-native apps and rapidly scale during demand surges. </w:t>
      </w:r>
      <w:hyperlink r:id="rId9">
        <w:r>
          <w:rPr>
            <w:color w:val="0000EE"/>
            <w:u w:val="single"/>
          </w:rPr>
          <w:t>[1]</w:t>
        </w:r>
      </w:hyperlink>
      <w:hyperlink r:id="rId12">
        <w:r>
          <w:rPr>
            <w:color w:val="0000EE"/>
            <w:u w:val="single"/>
          </w:rPr>
          <w:t>[5]</w:t>
        </w:r>
      </w:hyperlink>
      <w:hyperlink r:id="rId13">
        <w:r>
          <w:rPr>
            <w:color w:val="0000EE"/>
            <w:u w:val="single"/>
          </w:rPr>
          <w:t>[6]</w:t>
        </w:r>
      </w:hyperlink>
      <w:r/>
    </w:p>
    <w:p>
      <w:r/>
      <w:r>
        <w:t xml:space="preserve">Yet several practical risks loom. A global Riverbed survey reported by IntelligentCIO shows a widespread AI readiness gap: while most leaders recognise data quality as critical, fewer than half are confident in the accuracy and completeness of the data required for reliable AI. Couchbase and IntelligentCIO commentary also warn of an inevitable surge in semi-structured, regenerated and rapidly changing data , "AI slop" , that will overwhelm brittle data platforms unless organisations invest in flexible schemas, fast ingest, rollback capabilities and strong governance. The combined reporting makes clear that technology choices, not just models, will determine whether AI becomes an accelerator or a source of operational debt. </w:t>
      </w:r>
      <w:hyperlink r:id="rId14">
        <w:r>
          <w:rPr>
            <w:color w:val="0000EE"/>
            <w:u w:val="single"/>
          </w:rPr>
          <w:t>[3]</w:t>
        </w:r>
      </w:hyperlink>
      <w:hyperlink r:id="rId9">
        <w:r>
          <w:rPr>
            <w:color w:val="0000EE"/>
            <w:u w:val="single"/>
          </w:rPr>
          <w:t>[1]</w:t>
        </w:r>
      </w:hyperlink>
      <w:r/>
    </w:p>
    <w:p>
      <w:r/>
      <w:r>
        <w:t xml:space="preserve">For firms that prepare now, the opportunity is substantial: those that rebuild content stacks, tighten data provenance, centralise agent management and plan for distributed compute stand to win more direct access to customers through AI-first discovery while avoiding the reputation and compliance hazards of careless automation. The coverage by IntelligentCIO and related industry reports suggests 2026 will reward organisations that treat AI as a systems challenge , a blend of people, process, data and infrastructure , rather than a single technology initiative. </w:t>
      </w:r>
      <w:hyperlink r:id="rId9">
        <w:r>
          <w:rPr>
            <w:color w:val="0000EE"/>
            <w:u w:val="single"/>
          </w:rPr>
          <w:t>[1]</w:t>
        </w:r>
      </w:hyperlink>
      <w:hyperlink r:id="rId9">
        <w:r>
          <w:rPr>
            <w:color w:val="0000EE"/>
            <w:u w:val="single"/>
          </w:rPr>
          <w:t>[2]</w:t>
        </w:r>
      </w:hyperlink>
      <w:hyperlink r:id="rId10">
        <w:r>
          <w:rPr>
            <w:color w:val="0000EE"/>
            <w:u w:val="single"/>
          </w:rPr>
          <w:t>[4]</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(IntelligentCIO) - Paragraph 1, Paragraph 2, Paragraph 3, Paragraph 4, Paragraph 6, Paragraph 7, Paragraph 8</w:t>
      </w:r>
      <w:r/>
    </w:p>
    <w:p>
      <w:pPr>
        <w:pStyle w:val="ListBullet"/>
        <w:spacing w:line="240" w:lineRule="auto"/>
        <w:ind w:left="720"/>
      </w:pPr>
      <w:r/>
      <w:hyperlink r:id="rId9">
        <w:r>
          <w:rPr>
            <w:color w:val="0000EE"/>
            <w:u w:val="single"/>
          </w:rPr>
          <w:t>[2]</w:t>
        </w:r>
      </w:hyperlink>
      <w:r>
        <w:t xml:space="preserve"> (IntelligentCIO summary) - Paragraph 1, Paragraph 3, Paragraph 4</w:t>
      </w:r>
      <w:r/>
    </w:p>
    <w:p>
      <w:pPr>
        <w:pStyle w:val="ListBullet"/>
        <w:spacing w:line="240" w:lineRule="auto"/>
        <w:ind w:left="720"/>
      </w:pPr>
      <w:r/>
      <w:hyperlink r:id="rId14">
        <w:r>
          <w:rPr>
            <w:color w:val="0000EE"/>
            <w:u w:val="single"/>
          </w:rPr>
          <w:t>[3]</w:t>
        </w:r>
      </w:hyperlink>
      <w:r>
        <w:t xml:space="preserve"> (Riverbed) - Paragraph 7</w:t>
      </w:r>
      <w:r/>
    </w:p>
    <w:p>
      <w:pPr>
        <w:pStyle w:val="ListBullet"/>
        <w:spacing w:line="240" w:lineRule="auto"/>
        <w:ind w:left="720"/>
      </w:pPr>
      <w:r/>
      <w:hyperlink r:id="rId10">
        <w:r>
          <w:rPr>
            <w:color w:val="0000EE"/>
            <w:u w:val="single"/>
          </w:rPr>
          <w:t>[4]</w:t>
        </w:r>
      </w:hyperlink>
      <w:r>
        <w:t xml:space="preserve"> (Dataiku) - Paragraph 5, Paragraph 8</w:t>
      </w:r>
      <w:r/>
    </w:p>
    <w:p>
      <w:pPr>
        <w:pStyle w:val="ListBullet"/>
        <w:spacing w:line="240" w:lineRule="auto"/>
        <w:ind w:left="720"/>
      </w:pPr>
      <w:r/>
      <w:hyperlink r:id="rId12">
        <w:r>
          <w:rPr>
            <w:color w:val="0000EE"/>
            <w:u w:val="single"/>
          </w:rPr>
          <w:t>[5]</w:t>
        </w:r>
      </w:hyperlink>
      <w:r>
        <w:t xml:space="preserve"> (Teraco) - Paragraph 6</w:t>
      </w:r>
      <w:r/>
    </w:p>
    <w:p>
      <w:pPr>
        <w:pStyle w:val="ListBullet"/>
        <w:spacing w:line="240" w:lineRule="auto"/>
        <w:ind w:left="720"/>
      </w:pPr>
      <w:r/>
      <w:hyperlink r:id="rId13">
        <w:r>
          <w:rPr>
            <w:color w:val="0000EE"/>
            <w:u w:val="single"/>
          </w:rPr>
          <w:t>[6]</w:t>
        </w:r>
      </w:hyperlink>
      <w:r>
        <w:t xml:space="preserve"> (Huawei Cloud) - Paragraph 6</w:t>
      </w:r>
      <w:r/>
    </w:p>
    <w:p>
      <w:pPr>
        <w:pStyle w:val="ListBullet"/>
        <w:spacing w:line="240" w:lineRule="auto"/>
        <w:ind w:left="720"/>
      </w:pPr>
      <w:r/>
      <w:hyperlink r:id="rId11">
        <w:r>
          <w:rPr>
            <w:color w:val="0000EE"/>
            <w:u w:val="single"/>
          </w:rPr>
          <w:t>[7]</w:t>
        </w:r>
      </w:hyperlink>
      <w:r>
        <w:t xml:space="preserve"> (Infinidat) - Paragraph 5,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https://www.intelligentcio.com/me/2025/12/30/ai-reshapes-marketing-discovery-and-data-platforms-as-enterprises-prepare-for-2026/</w:t>
        </w:r>
      </w:hyperlink>
      <w:r>
        <w:t xml:space="preserve"> - Please view link - unable to able to access data</w:t>
      </w:r>
      <w:r/>
    </w:p>
    <w:p>
      <w:pPr>
        <w:pStyle w:val="ListNumber"/>
        <w:spacing w:line="240" w:lineRule="auto"/>
        <w:ind w:left="720"/>
      </w:pPr>
      <w:r/>
      <w:hyperlink r:id="rId9">
        <w:r>
          <w:rPr>
            <w:color w:val="0000EE"/>
            <w:u w:val="single"/>
          </w:rPr>
          <w:t>https://www.intelligentcio.com/me/2025/12/30/ai-reshapes-marketing-discovery-and-data-platforms-as-enterprises-prepare-for-2026/</w:t>
        </w:r>
      </w:hyperlink>
      <w:r>
        <w:t xml:space="preserve"> - Industry leaders from The Brief, Storyblok, and Couchbase discuss how AI will transform creativity, discovery, and data infrastructure by 2026. They highlight the rise of a new creative class collaborating with machines, the decline of traditional discovery channels as AI agents replace search engines, and the shift from experimental AI projects to full-scale enterprise deployment. The article emphasizes the need for brands to adapt to these changes to remain competitive in an AI-driven landscape.</w:t>
      </w:r>
      <w:r/>
    </w:p>
    <w:p>
      <w:pPr>
        <w:pStyle w:val="ListNumber"/>
        <w:spacing w:line="240" w:lineRule="auto"/>
        <w:ind w:left="720"/>
      </w:pPr>
      <w:r/>
      <w:hyperlink r:id="rId14">
        <w:r>
          <w:rPr>
            <w:color w:val="0000EE"/>
            <w:u w:val="single"/>
          </w:rPr>
          <w:t>https://www.intelligentcio.com/apac/2025/10/02/new-riverbed-global-survey-reveals-ai-readiness-gap-despite-record-investments/</w:t>
        </w:r>
      </w:hyperlink>
      <w:r>
        <w:t xml:space="preserve"> - A global survey by Riverbed reveals a significant AI readiness gap despite substantial investments. While 88% of respondents acknowledge the importance of data quality, only 46% are confident in their data's accuracy and completeness for AI implementation. The survey underscores the necessity for organizations to enhance data quality and align expectations between leadership and technical teams to fully leverage AI's potential.</w:t>
      </w:r>
      <w:r/>
    </w:p>
    <w:p>
      <w:pPr>
        <w:pStyle w:val="ListNumber"/>
        <w:spacing w:line="240" w:lineRule="auto"/>
        <w:ind w:left="720"/>
      </w:pPr>
      <w:r/>
      <w:hyperlink r:id="rId10">
        <w:r>
          <w:rPr>
            <w:color w:val="0000EE"/>
            <w:u w:val="single"/>
          </w:rPr>
          <w:t>https://www.intelligentcio.com/me/2025/10/20/dataiku-launches-agent-hub-the-collaborative-workspace-to-build-share-and-scale-ai-agents/</w:t>
        </w:r>
      </w:hyperlink>
      <w:r>
        <w:t xml:space="preserve"> - Dataiku introduces Agent Hub, a centralized workspace designed to build, share, and scale AI agents. This platform aims to eliminate fragmentation caused by isolated AI experiments by uniting agent creation and management in one space, empowering employees while maintaining IT control over access to models, data, and the agent lifecycle. Agent Hub helps enterprises unlock agent business value and better determine ROI with clear visibility into agent adoption, usage, and impact.</w:t>
      </w:r>
      <w:r/>
    </w:p>
    <w:p>
      <w:pPr>
        <w:pStyle w:val="ListNumber"/>
        <w:spacing w:line="240" w:lineRule="auto"/>
        <w:ind w:left="720"/>
      </w:pPr>
      <w:r/>
      <w:hyperlink r:id="rId12">
        <w:r>
          <w:rPr>
            <w:color w:val="0000EE"/>
            <w:u w:val="single"/>
          </w:rPr>
          <w:t>https://www.intelligentcio.com/africa/2024/11/13/teraco-announces-40mw-data-centre-expansion-to-its-isando-campus/</w:t>
        </w:r>
      </w:hyperlink>
      <w:r>
        <w:t xml:space="preserve"> - Teraco, a Digital Realty company, announces the construction of a new 40MW hyperscale data centre at its Isando Campus in Ekurhuleni, South Africa. Scheduled for completion in 2026, the facility will incorporate environmentally sustainable cooling and water management designs. This expansion aims to meet the growing demand for data centre capacity from enterprises and cloud service providers, solidifying Teraco's position as a leading provider of data centre services in Africa.</w:t>
      </w:r>
      <w:r/>
    </w:p>
    <w:p>
      <w:pPr>
        <w:pStyle w:val="ListNumber"/>
        <w:spacing w:line="240" w:lineRule="auto"/>
        <w:ind w:left="720"/>
      </w:pPr>
      <w:r/>
      <w:hyperlink r:id="rId13">
        <w:r>
          <w:rPr>
            <w:color w:val="0000EE"/>
            <w:u w:val="single"/>
          </w:rPr>
          <w:t>https://www.intelligentcio.com/apac/2025/09/23/huawei-cloud-fostering-the-fertile-ground-for-compute-empowering-ai-pioneers-for-industries/</w:t>
        </w:r>
      </w:hyperlink>
      <w:r>
        <w:t xml:space="preserve"> - Huawei Cloud introduces a one-stop AI development platform to help enterprises build AI-native applications and innovate with greater ease. The platform has been utilized by various clients, including DeFacto, a top fast fashion retailer in Türkiye, which faced significant traffic surges during promotional seasons. Huawei Cloud's container service enabled DeFacto to automatically scale up 4,000 pods within 30 seconds, allowing the company to easily cope with traffic spikes.</w:t>
      </w:r>
      <w:r/>
    </w:p>
    <w:p>
      <w:pPr>
        <w:pStyle w:val="ListNumber"/>
        <w:spacing w:line="240" w:lineRule="auto"/>
        <w:ind w:left="720"/>
      </w:pPr>
      <w:r/>
      <w:hyperlink r:id="rId11">
        <w:r>
          <w:rPr>
            <w:color w:val="0000EE"/>
            <w:u w:val="single"/>
          </w:rPr>
          <w:t>https://www.intelligentcio.com/north-america/2024/11/21/infinidat-introduces-retrieval-augmented-generation-rag-workflow-deployment-architecture-to-make-ai-more-accurate-for-enterprises/</w:t>
        </w:r>
      </w:hyperlink>
      <w:r>
        <w:t xml:space="preserve"> - Infinidat introduces its Retrieval-Augmented Generation (RAG) workflow deployment architecture to enable enterprises to fully leverage generative AI (GenAI). This architecture aims to improve the accuracy and relevancy of AI models by utilizing up-to-date, private data from multiple company data sources, including unstructured and structured data. Infinidat's RAG architecture allows enterprises to optimize AI model outputs without the need for specialized equipment, enhancing the effectiveness of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elligentcio.com/me/2025/12/30/ai-reshapes-marketing-discovery-and-data-platforms-as-enterprises-prepare-for-2026/" TargetMode="External"/><Relationship Id="rId10" Type="http://schemas.openxmlformats.org/officeDocument/2006/relationships/hyperlink" Target="https://www.intelligentcio.com/me/2025/10/20/dataiku-launches-agent-hub-the-collaborative-workspace-to-build-share-and-scale-ai-agents/" TargetMode="External"/><Relationship Id="rId11" Type="http://schemas.openxmlformats.org/officeDocument/2006/relationships/hyperlink" Target="https://www.intelligentcio.com/north-america/2024/11/21/infinidat-introduces-retrieval-augmented-generation-rag-workflow-deployment-architecture-to-make-ai-more-accurate-for-enterprises/" TargetMode="External"/><Relationship Id="rId12" Type="http://schemas.openxmlformats.org/officeDocument/2006/relationships/hyperlink" Target="https://www.intelligentcio.com/africa/2024/11/13/teraco-announces-40mw-data-centre-expansion-to-its-isando-campus/" TargetMode="External"/><Relationship Id="rId13" Type="http://schemas.openxmlformats.org/officeDocument/2006/relationships/hyperlink" Target="https://www.intelligentcio.com/apac/2025/09/23/huawei-cloud-fostering-the-fertile-ground-for-compute-empowering-ai-pioneers-for-industries/" TargetMode="External"/><Relationship Id="rId14" Type="http://schemas.openxmlformats.org/officeDocument/2006/relationships/hyperlink" Target="https://www.intelligentcio.com/apac/2025/10/02/new-riverbed-global-survey-reveals-ai-readiness-gap-despite-record-investmen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