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Argentina modernises data protection laws amidst AI-driven privacy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Argentina's long-standing claim to regional leadership in data protection is being tested by a rapid shift in technology and a concerted domestic push to modernise rules that were adopted a quarter of a century ago. According to the lead analysis by Jurist, Argentina’s Personal Data Protection Act of 2000 established an early, comprehensive framework and secured EU adequacy recognition in 2003, but the law has struggled to keep pace with generative AI, large-scale algorithmic processing and new privacy risks. </w:t>
      </w:r>
      <w:hyperlink r:id="rId9">
        <w:r>
          <w:rPr>
            <w:color w:val="0000EE"/>
            <w:u w:val="single"/>
          </w:rPr>
          <w:t>[1]</w:t>
        </w:r>
      </w:hyperlink>
      <w:hyperlink r:id="rId10">
        <w:r>
          <w:rPr>
            <w:color w:val="0000EE"/>
            <w:u w:val="single"/>
          </w:rPr>
          <w:t>[4]</w:t>
        </w:r>
      </w:hyperlink>
      <w:hyperlink r:id="rId11">
        <w:r>
          <w:rPr>
            <w:color w:val="0000EE"/>
            <w:u w:val="single"/>
          </w:rPr>
          <w:t>[6]</w:t>
        </w:r>
      </w:hyperlink>
      <w:r/>
    </w:p>
    <w:p>
      <w:r/>
      <w:r>
        <w:t xml:space="preserve">The foundations of the existing regime remain consequential: Law 25,326 created broad individual rights , access, correction and deletion via habeas data , set consent and purpose-limitation principles, required database registration and constrained cross-border transfers, and spawned the region’s first independent oversight body, today housed in the Agencia de Acceso a la Información Pública (AAIP). Industry and comparative studies note that those features continue to align Argentina with international standards even as those standards have evolved. </w:t>
      </w:r>
      <w:hyperlink r:id="rId9">
        <w:r>
          <w:rPr>
            <w:color w:val="0000EE"/>
            <w:u w:val="single"/>
          </w:rPr>
          <w:t>[1]</w:t>
        </w:r>
      </w:hyperlink>
      <w:hyperlink r:id="rId10">
        <w:r>
          <w:rPr>
            <w:color w:val="0000EE"/>
            <w:u w:val="single"/>
          </w:rPr>
          <w:t>[4]</w:t>
        </w:r>
      </w:hyperlink>
      <w:hyperlink r:id="rId11">
        <w:r>
          <w:rPr>
            <w:color w:val="0000EE"/>
            <w:u w:val="single"/>
          </w:rPr>
          <w:t>[6]</w:t>
        </w:r>
      </w:hyperlink>
      <w:r/>
    </w:p>
    <w:p>
      <w:r/>
      <w:r>
        <w:t xml:space="preserve">Yet the law’s vintage matters. Jurist and comparative scholarship observe that Law 25,326 predates the EU GDPR and the latest advances in machine learning, leaving gaps around anonymisation, biometric regulation, automated decision-making and profiling that many contemporary regimes now address explicitly. Argentina’s participation in instruments such as Convention 108 and its Protocol 108+ further binds it to modern obligations on algorithmic processing. </w:t>
      </w:r>
      <w:hyperlink r:id="rId9">
        <w:r>
          <w:rPr>
            <w:color w:val="0000EE"/>
            <w:u w:val="single"/>
          </w:rPr>
          <w:t>[1]</w:t>
        </w:r>
      </w:hyperlink>
      <w:hyperlink r:id="rId12">
        <w:r>
          <w:rPr>
            <w:color w:val="0000EE"/>
            <w:u w:val="single"/>
          </w:rPr>
          <w:t>[2]</w:t>
        </w:r>
      </w:hyperlink>
      <w:hyperlink r:id="rId10">
        <w:r>
          <w:rPr>
            <w:color w:val="0000EE"/>
            <w:u w:val="single"/>
          </w:rPr>
          <w:t>[4]</w:t>
        </w:r>
      </w:hyperlink>
      <w:r/>
    </w:p>
    <w:p>
      <w:r/>
      <w:r>
        <w:t xml:space="preserve">Generative AI platforms and opaque machine‑learning systems have, in practice, exposed those gaps. The Jurist commentary highlights practical tensions: large-scale repurposing of data beyond original consent, heightened risks of bias and discrimination, and the “black box” problem that frustrates meaningful explanation and redress for affected individuals. Legal scholars cited in the piece warn that these dynamics undermine core principles of transparency and data quality enshrined in the original statute. </w:t>
      </w:r>
      <w:hyperlink r:id="rId9">
        <w:r>
          <w:rPr>
            <w:color w:val="0000EE"/>
            <w:u w:val="single"/>
          </w:rPr>
          <w:t>[1]</w:t>
        </w:r>
      </w:hyperlink>
      <w:r/>
    </w:p>
    <w:p>
      <w:r/>
      <w:r>
        <w:t xml:space="preserve">Argentina’s courts have already begun to give those principles bite. The Court of Appeals in Administrative, Tax and Consumer Relations of the City of Buenos Aires ruled in 2023 that a municipal facial‑recognition programme deployed against fugitives was unconstitutional, citing inadequate safeguards, risks of misidentification and threats to due process and privacy. That judgment, set out in Jurist’s reporting, demonstrates how established rights have been used to constrain unregulated AI deployments in the absence of a finished statutory overhaul. </w:t>
      </w:r>
      <w:hyperlink r:id="rId9">
        <w:r>
          <w:rPr>
            <w:color w:val="0000EE"/>
            <w:u w:val="single"/>
          </w:rPr>
          <w:t>[1]</w:t>
        </w:r>
      </w:hyperlink>
      <w:r/>
    </w:p>
    <w:p>
      <w:r/>
      <w:r>
        <w:t xml:space="preserve">Recognising the challenge, the AAIP and other branches of government have pursued a multipronged response combining soft law, institutional capacity building and legislative reform. In September 2023 the AAIP launched a “Program for Transparency and Personal Data Protection in the Use of Artificial Intelligence” and, as Beatriz Anchorena of the AAIP stated on 4 September 2023, sought to “incorporate transparency and personal data protection in a transversal way in the development of artificial intelligence, in order to provide greater security, legitimacy, and public trust in these technologies.” That programme established an AI observatory, preliminary guidelines for public and private actors, plans for multidisciplinary advisory input and steps to strengthen auditing and impact‑assessment capabilities. </w:t>
      </w:r>
      <w:hyperlink r:id="rId9">
        <w:r>
          <w:rPr>
            <w:color w:val="0000EE"/>
            <w:u w:val="single"/>
          </w:rPr>
          <w:t>[1]</w:t>
        </w:r>
      </w:hyperlink>
      <w:r/>
    </w:p>
    <w:p>
      <w:r/>
      <w:r>
        <w:t xml:space="preserve">The national strategy has also involved interministerial coordination. Administrative Decision 750/2023 set up a high‑level roundtable led by the Chief of the Cabinet to bring ministries together on AI policy, signalling that the AAIP’s guidance is only one part of a broader state effort to align governance, ethics and technical oversight while policy-makers prepare more binding rules. Observers of the global regulatory landscape describe Argentina’s approach as broadly consistent with international trends while still relying, at present, on non‑binding instruments and layered reform proposals. </w:t>
      </w:r>
      <w:hyperlink r:id="rId9">
        <w:r>
          <w:rPr>
            <w:color w:val="0000EE"/>
            <w:u w:val="single"/>
          </w:rPr>
          <w:t>[1]</w:t>
        </w:r>
      </w:hyperlink>
      <w:hyperlink r:id="rId13">
        <w:r>
          <w:rPr>
            <w:color w:val="0000EE"/>
            <w:u w:val="single"/>
          </w:rPr>
          <w:t>[3]</w:t>
        </w:r>
      </w:hyperlink>
      <w:r/>
    </w:p>
    <w:p>
      <w:r/>
      <w:r>
        <w:t xml:space="preserve">Legislative activity in 2025 reflects multiple competing bills that either amend or seek to replace Law 25,326, with measures touching on de‑indexing, consent for minors, algorithmic transparency and a refreshed regulatory architecture. Jurist and practitioner guides report that draft bills and parliamentary initiatives aim to harmonise Argentine law with GDPR‑era concepts, but that no single consensus text has yet secured final parliamentary status. Industry summaries caution that Argentina’s ongoing negotiations will determine whether the new framework provides enforceable, proportionate rules or remains anchored in guidance and accountability mechanisms. </w:t>
      </w:r>
      <w:hyperlink r:id="rId9">
        <w:r>
          <w:rPr>
            <w:color w:val="0000EE"/>
            <w:u w:val="single"/>
          </w:rPr>
          <w:t>[1]</w:t>
        </w:r>
      </w:hyperlink>
      <w:hyperlink r:id="rId11">
        <w:r>
          <w:rPr>
            <w:color w:val="0000EE"/>
            <w:u w:val="single"/>
          </w:rPr>
          <w:t>[6]</w:t>
        </w:r>
      </w:hyperlink>
      <w:hyperlink r:id="rId14">
        <w:r>
          <w:rPr>
            <w:color w:val="0000EE"/>
            <w:u w:val="single"/>
          </w:rPr>
          <w:t>[7]</w:t>
        </w:r>
      </w:hyperlink>
      <w:hyperlink r:id="rId13">
        <w:r>
          <w:rPr>
            <w:color w:val="0000EE"/>
            <w:u w:val="single"/>
          </w:rPr>
          <w:t>[3]</w:t>
        </w:r>
      </w:hyperlink>
      <w:r/>
    </w:p>
    <w:p>
      <w:r/>
      <w:r>
        <w:t xml:space="preserve">For now, Argentina’s policy mix places emphasis on transparency and procedural safeguards as the principal defensive tools against AI‑driven harms, while judges and regulators apply existing rights to supervise deployments. According to Council of Europe and domestic documentation, the country’s membership of modern data‑protection instruments and the AAIP’s initiatives mean Argentina is attempting to balance innovation with fundamental rights protection rather than foreclose technological development. Whether that balance will be cemented in a new law or an AI‑specific statute remains the central question as reforms advance. </w:t>
      </w:r>
      <w:hyperlink r:id="rId9">
        <w:r>
          <w:rPr>
            <w:color w:val="0000EE"/>
            <w:u w:val="single"/>
          </w:rPr>
          <w:t>[1]</w:t>
        </w:r>
      </w:hyperlink>
      <w:hyperlink r:id="rId12">
        <w:r>
          <w:rPr>
            <w:color w:val="0000EE"/>
            <w:u w:val="single"/>
          </w:rPr>
          <w:t>[2]</w:t>
        </w:r>
      </w:hyperlink>
      <w:r/>
    </w:p>
    <w:p>
      <w:r/>
      <w:r>
        <w:t xml:space="preserve">The coming months will test whether Argentina can convert its programmatic advances and court precedents into a coherent, enforceable regime that provides clearer obligations for private and public actors using generative AI. International comparisons and legal commentary suggest that success will depend on tightening consent and purpose rules, clarifying accountability for automated decisions, strengthening enforcement capacity and embedding transparency obligations that make algorithmic processes intelligible to those affected. If achieved, Argentina’s updated framework could restore its position as a regional pioneer by marrying the early vision of data‑protection rights with the regulatory instruments needed for an AI era. </w:t>
      </w:r>
      <w:hyperlink r:id="rId9">
        <w:r>
          <w:rPr>
            <w:color w:val="0000EE"/>
            <w:u w:val="single"/>
          </w:rPr>
          <w:t>[1]</w:t>
        </w:r>
      </w:hyperlink>
      <w:hyperlink r:id="rId10">
        <w:r>
          <w:rPr>
            <w:color w:val="0000EE"/>
            <w:u w:val="single"/>
          </w:rPr>
          <w:t>[4]</w:t>
        </w:r>
      </w:hyperlink>
      <w:hyperlink r:id="rId13">
        <w:r>
          <w:rPr>
            <w:color w:val="0000EE"/>
            <w:u w:val="single"/>
          </w:rPr>
          <w:t>[3]</w:t>
        </w:r>
      </w:hyperlink>
      <w:hyperlink r:id="rId11">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(Jurist) - Paragraph 1, Paragraph 2, Paragraph 3, Paragraph 4, Paragraph 5, Paragraph 6, Paragraph 8, Paragraph 9, Paragraph 10</w:t>
      </w:r>
      <w:r/>
    </w:p>
    <w:p>
      <w:pPr>
        <w:pStyle w:val="ListBullet"/>
        <w:spacing w:line="240" w:lineRule="auto"/>
        <w:ind w:left="720"/>
      </w:pPr>
      <w:r/>
      <w:hyperlink r:id="rId10">
        <w:r>
          <w:rPr>
            <w:color w:val="0000EE"/>
            <w:u w:val="single"/>
          </w:rPr>
          <w:t>[4]</w:t>
        </w:r>
      </w:hyperlink>
      <w:r>
        <w:t xml:space="preserve"> (De Gruyter/Brill comparative study) - Paragraph 2, Paragraph 3, Paragraph 10</w:t>
      </w:r>
      <w:r/>
    </w:p>
    <w:p>
      <w:pPr>
        <w:pStyle w:val="ListBullet"/>
        <w:spacing w:line="240" w:lineRule="auto"/>
        <w:ind w:left="720"/>
      </w:pPr>
      <w:r/>
      <w:hyperlink r:id="rId11">
        <w:r>
          <w:rPr>
            <w:color w:val="0000EE"/>
            <w:u w:val="single"/>
          </w:rPr>
          <w:t>[6]</w:t>
        </w:r>
      </w:hyperlink>
      <w:r>
        <w:t xml:space="preserve"> (Lex Mundi) - Paragraph 2, Paragraph 9, Paragraph 10</w:t>
      </w:r>
      <w:r/>
    </w:p>
    <w:p>
      <w:pPr>
        <w:pStyle w:val="ListBullet"/>
        <w:spacing w:line="240" w:lineRule="auto"/>
        <w:ind w:left="720"/>
      </w:pPr>
      <w:r/>
      <w:hyperlink r:id="rId12">
        <w:r>
          <w:rPr>
            <w:color w:val="0000EE"/>
            <w:u w:val="single"/>
          </w:rPr>
          <w:t>[2]</w:t>
        </w:r>
      </w:hyperlink>
      <w:r>
        <w:t xml:space="preserve"> (Council of Europe) - Paragraph 3, Paragraph 9</w:t>
      </w:r>
      <w:r/>
    </w:p>
    <w:p>
      <w:pPr>
        <w:pStyle w:val="ListBullet"/>
        <w:spacing w:line="240" w:lineRule="auto"/>
        <w:ind w:left="720"/>
      </w:pPr>
      <w:r/>
      <w:r>
        <w:t>(Scholarly works cited in Jurist) - Paragraph 4</w:t>
      </w:r>
      <w:r/>
    </w:p>
    <w:p>
      <w:pPr>
        <w:pStyle w:val="ListBullet"/>
        <w:spacing w:line="240" w:lineRule="auto"/>
        <w:ind w:left="720"/>
      </w:pPr>
      <w:r/>
      <w:r>
        <w:t>/// (AAIP materials and Resolution 161/2023) - Paragraph 6, Paragraph 7</w:t>
      </w:r>
      <w:r/>
    </w:p>
    <w:p>
      <w:pPr>
        <w:pStyle w:val="ListBullet"/>
        <w:spacing w:line="240" w:lineRule="auto"/>
        <w:ind w:left="720"/>
      </w:pPr>
      <w:r/>
      <w:r>
        <w:t>/ (Administrative Decision 750/2023 and Interministerial Roundtable) - Paragraph 7</w:t>
      </w:r>
      <w:r/>
    </w:p>
    <w:p>
      <w:pPr>
        <w:pStyle w:val="ListBullet"/>
        <w:spacing w:line="240" w:lineRule="auto"/>
        <w:ind w:left="720"/>
      </w:pPr>
      <w:r/>
      <w:hyperlink r:id="rId13">
        <w:r>
          <w:rPr>
            <w:color w:val="0000EE"/>
            <w:u w:val="single"/>
          </w:rPr>
          <w:t>[3]</w:t>
        </w:r>
      </w:hyperlink>
      <w:r>
        <w:t xml:space="preserve"> (IBA/summary of global regulatory landscape) - Paragraph 7,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https://www.jurist.org/commentary/2025/12/why-argentinas-pioneering-privacy-law-is-now-playing-defense-against-ai/</w:t>
        </w:r>
      </w:hyperlink>
      <w:r>
        <w:t xml:space="preserve"> - Please view link - unable to able to access data</w:t>
      </w:r>
      <w:r/>
    </w:p>
    <w:p>
      <w:pPr>
        <w:pStyle w:val="ListNumber"/>
        <w:spacing w:line="240" w:lineRule="auto"/>
        <w:ind w:left="720"/>
      </w:pPr>
      <w:r/>
      <w:hyperlink r:id="rId12">
        <w:r>
          <w:rPr>
            <w:color w:val="0000EE"/>
            <w:u w:val="single"/>
          </w:rPr>
          <w:t>https://www.coe.int/en/web/data-protection/argentina</w:t>
        </w:r>
      </w:hyperlink>
      <w:r>
        <w:t xml:space="preserve"> - This page provides an overview of Argentina's data protection framework, detailing the country's adherence to international standards such as Convention 108 and Convention 108+, and the role of the Agency of Access to Public Information (AAIP) in enforcing data protection laws.</w:t>
      </w:r>
      <w:r/>
    </w:p>
    <w:p>
      <w:pPr>
        <w:pStyle w:val="ListNumber"/>
        <w:spacing w:line="240" w:lineRule="auto"/>
        <w:ind w:left="720"/>
      </w:pPr>
      <w:r/>
      <w:hyperlink r:id="rId13">
        <w:r>
          <w:rPr>
            <w:color w:val="0000EE"/>
            <w:u w:val="single"/>
          </w:rPr>
          <w:t>https://www.ibanet.org/AI-brief-global-regulatory-summary</w:t>
        </w:r>
      </w:hyperlink>
      <w:r>
        <w:t xml:space="preserve"> - An article discussing the global regulatory landscape of artificial intelligence, highlighting Argentina's efforts to update its data protection laws to address challenges posed by AI technologies, and the limitations of its current legislative framework.</w:t>
      </w:r>
      <w:r/>
    </w:p>
    <w:p>
      <w:pPr>
        <w:pStyle w:val="ListNumber"/>
        <w:spacing w:line="240" w:lineRule="auto"/>
        <w:ind w:left="720"/>
      </w:pPr>
      <w:r/>
      <w:hyperlink r:id="rId10">
        <w:r>
          <w:rPr>
            <w:color w:val="0000EE"/>
            <w:u w:val="single"/>
          </w:rPr>
          <w:t>https://www.degruyterbrill.com/document/doi/10.1515/icl-2021-0037/pdf</w:t>
        </w:r>
      </w:hyperlink>
      <w:r>
        <w:t xml:space="preserve"> - A comparative law study examining the impact of the EU's General Data Protection Regulation on Latin American countries, including Argentina's pioneering role in data protection and its alignment with international standards.</w:t>
      </w:r>
      <w:r/>
    </w:p>
    <w:p>
      <w:pPr>
        <w:pStyle w:val="ListNumber"/>
        <w:spacing w:line="240" w:lineRule="auto"/>
        <w:ind w:left="720"/>
      </w:pPr>
      <w:r/>
      <w:hyperlink r:id="rId16">
        <w:r>
          <w:rPr>
            <w:color w:val="0000EE"/>
            <w:u w:val="single"/>
          </w:rPr>
          <w:t>https://www.ga-alliance.eu/en/country/argentina-en/</w:t>
        </w:r>
      </w:hyperlink>
      <w:r>
        <w:t xml:space="preserve"> - This page outlines Argentina's data protection laws, including the Personal Data Protection Law No. 25,326, and recent legislative efforts to modernize the framework to address new technological challenges.</w:t>
      </w:r>
      <w:r/>
    </w:p>
    <w:p>
      <w:pPr>
        <w:pStyle w:val="ListNumber"/>
        <w:spacing w:line="240" w:lineRule="auto"/>
        <w:ind w:left="720"/>
      </w:pPr>
      <w:r/>
      <w:hyperlink r:id="rId11">
        <w:r>
          <w:rPr>
            <w:color w:val="0000EE"/>
            <w:u w:val="single"/>
          </w:rPr>
          <w:t>https://www.lexmundi.com/guides/data-privacy-guide/jurisdictions/latin-america/argentina/</w:t>
        </w:r>
      </w:hyperlink>
      <w:r>
        <w:t xml:space="preserve"> - A comprehensive guide detailing Argentina's data protection laws, including the Personal Data Protection Law No. 25,326, and the role of the Agency of Access to Public Information (AAIP) in enforcing these laws.</w:t>
      </w:r>
      <w:r/>
    </w:p>
    <w:p>
      <w:pPr>
        <w:pStyle w:val="ListNumber"/>
        <w:spacing w:line="240" w:lineRule="auto"/>
        <w:ind w:left="720"/>
      </w:pPr>
      <w:r/>
      <w:hyperlink r:id="rId14">
        <w:r>
          <w:rPr>
            <w:color w:val="0000EE"/>
            <w:u w:val="single"/>
          </w:rPr>
          <w:t>https://iapp.org/news/a/argentina-draft-bill-on-personal-data-protection/</w:t>
        </w:r>
      </w:hyperlink>
      <w:r>
        <w:t xml:space="preserve"> - An article discussing Argentina's draft bill on personal data protection, which aims to modernize the existing framework to align with international standards and address challenges posed by new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rist.org/commentary/2025/12/why-argentinas-pioneering-privacy-law-is-now-playing-defense-against-ai/" TargetMode="External"/><Relationship Id="rId10" Type="http://schemas.openxmlformats.org/officeDocument/2006/relationships/hyperlink" Target="https://www.degruyterbrill.com/document/doi/10.1515/icl-2021-0037/pdf" TargetMode="External"/><Relationship Id="rId11" Type="http://schemas.openxmlformats.org/officeDocument/2006/relationships/hyperlink" Target="https://www.lexmundi.com/guides/data-privacy-guide/jurisdictions/latin-america/argentina/" TargetMode="External"/><Relationship Id="rId12" Type="http://schemas.openxmlformats.org/officeDocument/2006/relationships/hyperlink" Target="https://www.coe.int/en/web/data-protection/argentina" TargetMode="External"/><Relationship Id="rId13" Type="http://schemas.openxmlformats.org/officeDocument/2006/relationships/hyperlink" Target="https://www.ibanet.org/AI-brief-global-regulatory-summary" TargetMode="External"/><Relationship Id="rId14" Type="http://schemas.openxmlformats.org/officeDocument/2006/relationships/hyperlink" Target="https://iapp.org/news/a/argentina-draft-bill-on-personal-data-protection/" TargetMode="External"/><Relationship Id="rId15" Type="http://schemas.openxmlformats.org/officeDocument/2006/relationships/hyperlink" Target="https://www.noahwire.com" TargetMode="External"/><Relationship Id="rId16" Type="http://schemas.openxmlformats.org/officeDocument/2006/relationships/hyperlink" Target="https://www.ga-alliance.eu/en/country/argentina-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