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California's 2026 laws set to reshape consumer rights, tech regulation, and public safety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sweeping package of California laws due to take effect in 2026 expands consumer protections, tightens oversight of emerging technologies and aims to lower costs for families while strengthening public safety and accountability, Governor Gavin Newsom’s office announced. The measures, passed during the most recent legislative session, touch education, health care, housing, labor, immigration and environmental policy and are presented by state officials as a response to affordability pressures and technological change. </w:t>
      </w:r>
      <w:hyperlink r:id="rId9">
        <w:r>
          <w:rPr>
            <w:color w:val="0000EE"/>
            <w:u w:val="single"/>
          </w:rPr>
          <w:t>[1]</w:t>
        </w:r>
      </w:hyperlink>
      <w:hyperlink r:id="rId10">
        <w:r>
          <w:rPr>
            <w:color w:val="0000EE"/>
            <w:u w:val="single"/>
          </w:rPr>
          <w:t>[3]</w:t>
        </w:r>
      </w:hyperlink>
      <w:r/>
    </w:p>
    <w:p>
      <w:r/>
      <w:r>
        <w:t xml:space="preserve">Several of the new laws concentrate on student wellbeing and access to support services. Under AB 727 public middle schools, high schools and public colleges must include the Trevor Project’s 24‑hour crisis hotline on student identification cards, a step described by proponents as expanding access to suicide prevention and mental‑health support for LGBTQ youth. AB 1264, described as a first‑in‑the‑nation measure, bars the most concerning ultra‑processed foods from being served in public schools with the aim of improving nutrition and long‑term health outcomes. SB 640 establishes a direct admissions process within the California State University system to notify eligible high‑school students of automatic admission and to smooth transfer pathways from community colleges. </w:t>
      </w:r>
      <w:hyperlink r:id="rId9">
        <w:r>
          <w:rPr>
            <w:color w:val="0000EE"/>
            <w:u w:val="single"/>
          </w:rPr>
          <w:t>[1]</w:t>
        </w:r>
      </w:hyperlink>
      <w:hyperlink r:id="rId10">
        <w:r>
          <w:rPr>
            <w:color w:val="0000EE"/>
            <w:u w:val="single"/>
          </w:rPr>
          <w:t>[3]</w:t>
        </w:r>
      </w:hyperlink>
      <w:r/>
    </w:p>
    <w:p>
      <w:r/>
      <w:r>
        <w:t xml:space="preserve">Health‑care measures seek to reduce out‑of‑pocket spending and expand services in underserved areas. From 1 January 2026 SB 40 will cap insulin co‑payments at $35 for a 20‑day supply for large state‑regulated plans, the state said. Other laws ease licensing and fund training for midwifery services, expand access to prenatal multivitamins, and create a 10‑year pilot for standby perinatal services at selected rural hospitals, all intended to increase maternal and neonatal care access across the state. </w:t>
      </w:r>
      <w:hyperlink r:id="rId9">
        <w:r>
          <w:rPr>
            <w:color w:val="0000EE"/>
            <w:u w:val="single"/>
          </w:rPr>
          <w:t>[1]</w:t>
        </w:r>
      </w:hyperlink>
      <w:r/>
    </w:p>
    <w:p>
      <w:r/>
      <w:r>
        <w:t xml:space="preserve">Legislation also broadens emergency and family supports. AB 798 expands the state’s emergency food bank reserve to include diapers and wipes, while AB 495 , the Family Preparedness Act , seeks to limit the collection of immigration‑related information at child‑care facilities and safeguard family privacy during emergencies. Schools will be required to post information about students’ rights related to immigration enforcement under AB 419, reinforcing that children are entitled to a free public education regardless of immigration status, the state said. </w:t>
      </w:r>
      <w:hyperlink r:id="rId9">
        <w:r>
          <w:rPr>
            <w:color w:val="0000EE"/>
            <w:u w:val="single"/>
          </w:rPr>
          <w:t>[1]</w:t>
        </w:r>
      </w:hyperlink>
      <w:r/>
    </w:p>
    <w:p>
      <w:r/>
      <w:r>
        <w:t xml:space="preserve">Housing and tenant protections form a core strand of the package. AB 628 mandates landlords provide working refrigerators in rental units, and SB 79 requires cities and counties to adopt long‑term planning strategies that make housing development a required element of local plans. The Senate bill has also been characterised elsewhere as part of a broader 2025 housing push that legalises denser multi‑family construction near transit to address housing shortages and encourage sustainable development. </w:t>
      </w:r>
      <w:hyperlink r:id="rId9">
        <w:r>
          <w:rPr>
            <w:color w:val="0000EE"/>
            <w:u w:val="single"/>
          </w:rPr>
          <w:t>[1]</w:t>
        </w:r>
      </w:hyperlink>
      <w:hyperlink r:id="rId11">
        <w:r>
          <w:rPr>
            <w:color w:val="0000EE"/>
            <w:u w:val="single"/>
          </w:rPr>
          <w:t>[6]</w:t>
        </w:r>
      </w:hyperlink>
      <w:r/>
    </w:p>
    <w:p>
      <w:r/>
      <w:r>
        <w:t xml:space="preserve">Workplace and civil‑rights provisions expand remedies and clarify protections for employees. AB 250 temporarily lifts the statute of limitations to allow civil claims by adult survivors of workplace sexual‑assault cover‑ups to be filed between January 2026 and December 2027, while SB 642 strengthens equal‑pay enforcement by broadening definitions of unlawful pay practices and extending filing timelines. Separately, state regulators last year approved rules to prevent employment discrimination arising from AI and automated decision‑making systems, requiring employers to retain employment‑related automated‑system records for at least four years and clarifying when certain assessments constitute unlawful medical inquiries. </w:t>
      </w:r>
      <w:hyperlink r:id="rId9">
        <w:r>
          <w:rPr>
            <w:color w:val="0000EE"/>
            <w:u w:val="single"/>
          </w:rPr>
          <w:t>[1]</w:t>
        </w:r>
      </w:hyperlink>
      <w:hyperlink r:id="rId12">
        <w:r>
          <w:rPr>
            <w:color w:val="0000EE"/>
            <w:u w:val="single"/>
          </w:rPr>
          <w:t>[2]</w:t>
        </w:r>
      </w:hyperlink>
      <w:hyperlink r:id="rId13">
        <w:r>
          <w:rPr>
            <w:color w:val="0000EE"/>
            <w:u w:val="single"/>
          </w:rPr>
          <w:t>[7]</w:t>
        </w:r>
      </w:hyperlink>
      <w:r/>
    </w:p>
    <w:p>
      <w:r/>
      <w:r>
        <w:t xml:space="preserve">A cluster of bills imposes new restrictions and transparency requirements on artificial intelligence. SB 53 , enacted in 2025 and described by state officials as the Transparency in Frontier Artificial Intelligence Act , requires large AI developers to document risk‑mitigation strategies and to disclose assessments of catastrophic risks and adherence to safety standards; it also establishes whistleblower protections and reporting procedures for critical safety incidents. Other measures bar AI chatbots from posing as licensed professionals, strengthen protections against AI‑enabled sexual exploitation, mandate disclosures when minors use chatbots and require law‑enforcement agencies to disclose when AI tools are used to draft police reports. Federal and industry observers have characterised the package as targeting California‑based AI labs and mandating incident reporting, fines and safety protocols for high‑capability models. </w:t>
      </w:r>
      <w:hyperlink r:id="rId9">
        <w:r>
          <w:rPr>
            <w:color w:val="0000EE"/>
            <w:u w:val="single"/>
          </w:rPr>
          <w:t>[1]</w:t>
        </w:r>
      </w:hyperlink>
      <w:hyperlink r:id="rId14">
        <w:r>
          <w:rPr>
            <w:color w:val="0000EE"/>
            <w:u w:val="single"/>
          </w:rPr>
          <w:t>[4]</w:t>
        </w:r>
      </w:hyperlink>
      <w:hyperlink r:id="rId15">
        <w:r>
          <w:rPr>
            <w:color w:val="0000EE"/>
            <w:u w:val="single"/>
          </w:rPr>
          <w:t>[5]</w:t>
        </w:r>
      </w:hyperlink>
      <w:r/>
    </w:p>
    <w:p>
      <w:r/>
      <w:r>
        <w:t xml:space="preserve">Consumer‑facing regulations include new rules for food‑delivery platforms and tighter plastic‑bag controls. AB 578 compels delivery companies to provide clearer pay disclosures, limits on use of tips, guaranteed refunds for failed orders and human customer‑service access. SB 1053 closes loopholes that allowed thicker plastic film bags to be marketed as reusable and requires retailers to transition to durable reusable bags or recycled‑content paper bags. Animal‑welfare measures ban non‑therapeutic cat declawing except for medical necessity and strengthen oversight of pet sales and dog imports, according to the state. </w:t>
      </w:r>
      <w:hyperlink r:id="rId9">
        <w:r>
          <w:rPr>
            <w:color w:val="0000EE"/>
            <w:u w:val="single"/>
          </w:rPr>
          <w:t>[1]</w:t>
        </w:r>
      </w:hyperlink>
      <w:r/>
    </w:p>
    <w:p>
      <w:r/>
      <w:r>
        <w:t xml:space="preserve">State officials say implementation will roll out across 2026 and that individual agencies will issue guidance to ensure compliance. The breadth of the package reflects a legislative strategy that pairs cost‑of‑living relief with regulatory steps intended to govern rapidly evolving technologies and to protect vulnerable populations; critics and implementation partners will be watching the administrative details and enforcement mechanisms that determine how quickly the new protections translate into practice. </w:t>
      </w:r>
      <w:hyperlink r:id="rId9">
        <w:r>
          <w:rPr>
            <w:color w:val="0000EE"/>
            <w:u w:val="single"/>
          </w:rPr>
          <w:t>[1]</w:t>
        </w:r>
      </w:hyperlink>
      <w:hyperlink r:id="rId15">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(Westside Today) - Paragraph 1, Paragraph 2, Paragraph 3, Paragraph 4, Paragraph 5, Paragraph 6, Paragraph 7, Paragraph 8, Paragraph 9</w:t>
      </w:r>
      <w:r/>
    </w:p>
    <w:p>
      <w:pPr>
        <w:pStyle w:val="ListBullet"/>
        <w:spacing w:line="240" w:lineRule="auto"/>
        <w:ind w:left="720"/>
      </w:pPr>
      <w:r/>
      <w:hyperlink r:id="rId10">
        <w:r>
          <w:rPr>
            <w:color w:val="0000EE"/>
            <w:u w:val="single"/>
          </w:rPr>
          <w:t>[3]</w:t>
        </w:r>
      </w:hyperlink>
      <w:r>
        <w:t xml:space="preserve"> (California Courts Newsroom) - Paragraph 2</w:t>
      </w:r>
      <w:r/>
    </w:p>
    <w:p>
      <w:pPr>
        <w:pStyle w:val="ListBullet"/>
        <w:spacing w:line="240" w:lineRule="auto"/>
        <w:ind w:left="720"/>
      </w:pPr>
      <w:r/>
      <w:hyperlink r:id="rId12">
        <w:r>
          <w:rPr>
            <w:color w:val="0000EE"/>
            <w:u w:val="single"/>
          </w:rPr>
          <w:t>[2]</w:t>
        </w:r>
      </w:hyperlink>
      <w:r>
        <w:t xml:space="preserve"> (California Civil Rights Council) - Paragraph 6</w:t>
      </w:r>
      <w:r/>
    </w:p>
    <w:p>
      <w:pPr>
        <w:pStyle w:val="ListBullet"/>
        <w:spacing w:line="240" w:lineRule="auto"/>
        <w:ind w:left="720"/>
      </w:pPr>
      <w:r/>
      <w:hyperlink r:id="rId11">
        <w:r>
          <w:rPr>
            <w:color w:val="0000EE"/>
            <w:u w:val="single"/>
          </w:rPr>
          <w:t>[6]</w:t>
        </w:r>
      </w:hyperlink>
      <w:r>
        <w:t xml:space="preserve"> (Wikipedia: California Senate Bill 79) - Paragraph 5</w:t>
      </w:r>
      <w:r/>
    </w:p>
    <w:p>
      <w:pPr>
        <w:pStyle w:val="ListBullet"/>
        <w:spacing w:line="240" w:lineRule="auto"/>
        <w:ind w:left="720"/>
      </w:pPr>
      <w:r/>
      <w:hyperlink r:id="rId14">
        <w:r>
          <w:rPr>
            <w:color w:val="0000EE"/>
            <w:u w:val="single"/>
          </w:rPr>
          <w:t>[4]</w:t>
        </w:r>
      </w:hyperlink>
      <w:r>
        <w:t xml:space="preserve"> (Wikipedia: Transparency in Frontier Artificial Intelligence Act) - Paragraph 7</w:t>
      </w:r>
      <w:r/>
    </w:p>
    <w:p>
      <w:pPr>
        <w:pStyle w:val="ListBullet"/>
        <w:spacing w:line="240" w:lineRule="auto"/>
        <w:ind w:left="720"/>
      </w:pPr>
      <w:r/>
      <w:hyperlink r:id="rId15">
        <w:r>
          <w:rPr>
            <w:color w:val="0000EE"/>
            <w:u w:val="single"/>
          </w:rPr>
          <w:t>[5]</w:t>
        </w:r>
      </w:hyperlink>
      <w:r>
        <w:t xml:space="preserve"> (AP News) - Paragraph 7, Paragraph 9</w:t>
      </w:r>
      <w:r/>
    </w:p>
    <w:p>
      <w:pPr>
        <w:pStyle w:val="ListBullet"/>
        <w:spacing w:line="240" w:lineRule="auto"/>
        <w:ind w:left="720"/>
      </w:pPr>
      <w:r/>
      <w:hyperlink r:id="rId13">
        <w:r>
          <w:rPr>
            <w:color w:val="0000EE"/>
            <w:u w:val="single"/>
          </w:rPr>
          <w:t>[7]</w:t>
        </w:r>
      </w:hyperlink>
      <w:r>
        <w:t xml:space="preserve"> (FOX 11 Los Angeles)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https://westsidetoday.com/2025/12/30/california-laws-taking-effect-in-2026-target-costs-ai-schools-and-public-safety/</w:t>
        </w:r>
      </w:hyperlink>
      <w:r>
        <w:t xml:space="preserve"> - Please view link - unable to able to access data</w:t>
      </w:r>
      <w:r/>
    </w:p>
    <w:p>
      <w:pPr>
        <w:pStyle w:val="ListNumber"/>
        <w:spacing w:line="240" w:lineRule="auto"/>
        <w:ind w:left="720"/>
      </w:pPr>
      <w:r/>
      <w:hyperlink r:id="rId12">
        <w:r>
          <w:rPr>
            <w:color w:val="0000EE"/>
            <w:u w:val="single"/>
          </w:rPr>
          <w:t>https://calcivilrights.ca.gov/2025/06/30/civil-rights-council-secures-approval-for-regulations-to-protect-against-employment-discrimination-related-to-artificial-intelligence/</w:t>
        </w:r>
      </w:hyperlink>
      <w:r>
        <w:t xml:space="preserve"> - In June 2025, the California Civil Rights Council announced the approval of regulations aimed at preventing employment discrimination resulting from the use of artificial intelligence (AI) and automated decision-making systems. These regulations clarify how existing antidiscrimination laws apply to AI in employment settings, ensuring that the use of automated systems does not harm applicants or employees based on protected characteristics such as gender, race, or disability. Employers are required to maintain employment records, including data from automated systems, for a minimum of four years. The regulations also define key terms related to automated decision-making systems and affirm that certain assessments may constitute unlawful medical inquiries.</w:t>
      </w:r>
      <w:r/>
    </w:p>
    <w:p>
      <w:pPr>
        <w:pStyle w:val="ListNumber"/>
        <w:spacing w:line="240" w:lineRule="auto"/>
        <w:ind w:left="720"/>
      </w:pPr>
      <w:r/>
      <w:hyperlink r:id="rId10">
        <w:r>
          <w:rPr>
            <w:color w:val="0000EE"/>
            <w:u w:val="single"/>
          </w:rPr>
          <w:t>https://newsroom.courts.ca.gov/news/new-california-laws-going-effect-2026</w:t>
        </w:r>
      </w:hyperlink>
      <w:r>
        <w:t xml:space="preserve"> - The California Courts Newsroom provides an overview of new laws set to take effect in 2026, covering various areas including education, health care, housing, immigration, labor rights, technology, and environmental policy. Notable laws include AB 727, which mandates that public middle schools, high schools, and colleges include the Trevor Project’s 24-hour crisis hotline on student identification cards to support LGBTQ youth. Another significant law, AB 1264, prohibits the serving of ultra-processed foods in public schools to improve student nutrition and health. Additionally, SB 79 requires cities and counties to adopt long-term planning strategies that include housing development as a required element.</w:t>
      </w:r>
      <w:r/>
    </w:p>
    <w:p>
      <w:pPr>
        <w:pStyle w:val="ListNumber"/>
        <w:spacing w:line="240" w:lineRule="auto"/>
        <w:ind w:left="720"/>
      </w:pPr>
      <w:r/>
      <w:hyperlink r:id="rId14">
        <w:r>
          <w:rPr>
            <w:color w:val="0000EE"/>
            <w:u w:val="single"/>
          </w:rPr>
          <w:t>https://en.wikipedia.org/wiki/Transparency_in_Frontier_Artificial_Intelligence_Act</w:t>
        </w:r>
      </w:hyperlink>
      <w:r>
        <w:t xml:space="preserve"> - The Transparency in Frontier Artificial Intelligence Act, also known as SB-53, is a 2025 California law that mandates increased transparency for companies developing artificial intelligence (AI). The act requires companies to create publicly accessible documents assessing potential catastrophic risks from their AI models and to publish documentation on how the models incorporate national and international safety standards. It also establishes whistleblower protections and procedures for alerting the government to critical safety incidents. Governor Gavin Newsom approved the bill on September 25, 2025, marking a significant step in AI regulation in the United States.</w:t>
      </w:r>
      <w:r/>
    </w:p>
    <w:p>
      <w:pPr>
        <w:pStyle w:val="ListNumber"/>
        <w:spacing w:line="240" w:lineRule="auto"/>
        <w:ind w:left="720"/>
      </w:pPr>
      <w:r/>
      <w:hyperlink r:id="rId15">
        <w:r>
          <w:rPr>
            <w:color w:val="0000EE"/>
            <w:u w:val="single"/>
          </w:rPr>
          <w:t>https://apnews.com/article/9f888a7cbaa57a7dec9e210785b83280</w:t>
        </w:r>
      </w:hyperlink>
      <w:r>
        <w:t xml:space="preserve"> - In September 2025, California Governor Gavin Newsom signed a landmark bill aimed at regulating powerful artificial intelligence (AI) models to prevent their misuse in potentially catastrophic activities, including bioweapon development and cyberattacks. The law mandates AI companies disclose and implement safety protocols when their models exceed a high computational threshold, signifying significant capability. It targets California-based giants like OpenAI, Google, Meta, and Anthropic, requiring them to report safety incidents within 15 days and allowing for fines up to $1 million per violation. The legislation also grants whistleblower protections and supports research via a public cloud infrastructure.</w:t>
      </w:r>
      <w:r/>
    </w:p>
    <w:p>
      <w:pPr>
        <w:pStyle w:val="ListNumber"/>
        <w:spacing w:line="240" w:lineRule="auto"/>
        <w:ind w:left="720"/>
      </w:pPr>
      <w:r/>
      <w:hyperlink r:id="rId11">
        <w:r>
          <w:rPr>
            <w:color w:val="0000EE"/>
            <w:u w:val="single"/>
          </w:rPr>
          <w:t>https://en.wikipedia.org/wiki/California_Senate_Bill_79</w:t>
        </w:r>
      </w:hyperlink>
      <w:r>
        <w:t xml:space="preserve"> - California Senate Bill 79, titled the Abundant and Affordable Homes Near Transit Act, is a 2025 law that legalizes the construction of multi-story, multi-family housing within a half-mile of public transit stations by preempting local government control of land zoning in the intervening area. The bill aims to address housing shortages and promote sustainable development by facilitating the creation of affordable housing near transit hubs, thereby reducing reliance on personal vehicles and encouraging the use of public transportation.</w:t>
      </w:r>
      <w:r/>
    </w:p>
    <w:p>
      <w:pPr>
        <w:pStyle w:val="ListNumber"/>
        <w:spacing w:line="240" w:lineRule="auto"/>
        <w:ind w:left="720"/>
      </w:pPr>
      <w:r/>
      <w:hyperlink r:id="rId13">
        <w:r>
          <w:rPr>
            <w:color w:val="0000EE"/>
            <w:u w:val="single"/>
          </w:rPr>
          <w:t>https://www.foxla.com/news/new-california-laws-2026</w:t>
        </w:r>
      </w:hyperlink>
      <w:r>
        <w:t xml:space="preserve"> - FOX 11 Los Angeles reports on new California laws set to take effect in 2026, focusing on worker protections, technology regulations, and data security. Notable laws include AB 858, which extends the right-to-rehire rights for employees laid off due to the COVID-19 pandemic until January 1, 2027, covering certain sectors such as airport services and hospitality. Additionally, SB 20, known as the Silicosis Training, Outreach, and Prevention (STOP) Act, prohibits the use of dry cutting methods on artificial stone and requires employers to implement effective wet methods to suppress dust, aiming to protect workers from silicosis.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stsidetoday.com/2025/12/30/california-laws-taking-effect-in-2026-target-costs-ai-schools-and-public-safety/" TargetMode="External"/><Relationship Id="rId10" Type="http://schemas.openxmlformats.org/officeDocument/2006/relationships/hyperlink" Target="https://newsroom.courts.ca.gov/news/new-california-laws-going-effect-2026" TargetMode="External"/><Relationship Id="rId11" Type="http://schemas.openxmlformats.org/officeDocument/2006/relationships/hyperlink" Target="https://en.wikipedia.org/wiki/California_Senate_Bill_79" TargetMode="External"/><Relationship Id="rId12" Type="http://schemas.openxmlformats.org/officeDocument/2006/relationships/hyperlink" Target="https://calcivilrights.ca.gov/2025/06/30/civil-rights-council-secures-approval-for-regulations-to-protect-against-employment-discrimination-related-to-artificial-intelligence/" TargetMode="External"/><Relationship Id="rId13" Type="http://schemas.openxmlformats.org/officeDocument/2006/relationships/hyperlink" Target="https://www.foxla.com/news/new-california-laws-2026" TargetMode="External"/><Relationship Id="rId14" Type="http://schemas.openxmlformats.org/officeDocument/2006/relationships/hyperlink" Target="https://en.wikipedia.org/wiki/Transparency_in_Frontier_Artificial_Intelligence_Act" TargetMode="External"/><Relationship Id="rId15" Type="http://schemas.openxmlformats.org/officeDocument/2006/relationships/hyperlink" Target="https://apnews.com/article/9f888a7cbaa57a7dec9e210785b8328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