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Educational technology becomes central to school transformation in 2026</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K–12 districts enter 2026, educational technology is shedding its novelty and becoming mission-critical, driven by tighter budgets, shifting enrolment, rising cyberthreats, and an urgent need for more personalised, future-ready learning, according to eSchool News. AI, data analytics and immersive tools are moving from pilots to system-wide integration, forcing leaders to balance innovation with equity, security and the irreplaceable role of human connection in schools. </w:t>
      </w:r>
      <w:hyperlink r:id="rId9">
        <w:r>
          <w:rPr>
            <w:color w:val="0000EE"/>
            <w:u w:val="single"/>
          </w:rPr>
          <w:t>[1]</w:t>
        </w:r>
      </w:hyperlink>
      <w:r/>
    </w:p>
    <w:p>
      <w:r/>
      <w:r>
        <w:t xml:space="preserve">Districts plan to make AI a routine classroom tool now that guardrails and safety standards are clarifying the landscape. “AI becomes fully mainstream,” writes eSchool News, with experts forecasting that AI will tackle learning gaps and student mental health by scaling supports such as tutoring and real‑time feedback while still positioning teachers at the centre of instruction; as Kris Astle, Education Expert and Manager of Learning and Adoption at SMART Technologies, notes, “The novelty era of AI is over.” </w:t>
      </w:r>
      <w:hyperlink r:id="rId9">
        <w:r>
          <w:rPr>
            <w:color w:val="0000EE"/>
            <w:u w:val="single"/>
          </w:rPr>
          <w:t>[1]</w:t>
        </w:r>
      </w:hyperlink>
      <w:r/>
    </w:p>
    <w:p>
      <w:r/>
      <w:r>
        <w:t xml:space="preserve">At the same time, school leaders expect AI and automation to reclaim time from administrative burden and fractured data systems. Industry voices in eSchool News predict AI‑driven content management will clean ghost data, simplify compliance, and produce cleaner, connected experiences for families and staff, enabling districts to redirect constrained resources toward interventions that improve outcomes. Andy MacIsaac of Laserfiche and James Stoffer of Abre emphasise centralised visibility and streamlined workflows as fiscal necessities in a tighter budget climate. </w:t>
      </w:r>
      <w:hyperlink r:id="rId9">
        <w:r>
          <w:rPr>
            <w:color w:val="0000EE"/>
            <w:u w:val="single"/>
          </w:rPr>
          <w:t>[1]</w:t>
        </w:r>
      </w:hyperlink>
      <w:r/>
    </w:p>
    <w:p>
      <w:r/>
      <w:r>
        <w:t xml:space="preserve">Career readiness and CTE are rising to the top of district priorities as educators, employers and policymakers aim to move from “graduation” to workforce readiness. eSchool News highlights leaders such as Edson Barton of YouScience and David Dimmett of Project Lead the Way arguing for deeper industry partnerships, expanded certifications and project‑based learning so students leave school credentialed and career‑confident. Virtual and VR/AR experiences are expected to play a larger role in authentic skills development. </w:t>
      </w:r>
      <w:hyperlink r:id="rId9">
        <w:r>
          <w:rPr>
            <w:color w:val="0000EE"/>
            <w:u w:val="single"/>
          </w:rPr>
          <w:t>[1]</w:t>
        </w:r>
      </w:hyperlink>
      <w:r/>
    </w:p>
    <w:p>
      <w:r/>
      <w:r>
        <w:t xml:space="preserve">Literacy and adolescent reading remain critical pressure points. The coverage stresses that middle‑school and upper‑grade interventions will be pivotal in 2026, with calls for extending Science of Reading practices beyond K–3, investing in targeted interventions, digital libraries and audiobooks, and aligning teacher training and sustained coaching to close entrenched gaps, echoing the analysis of Renee Davenport, Jeanne Jeup and Julie Richardson. </w:t>
      </w:r>
      <w:hyperlink r:id="rId9">
        <w:r>
          <w:rPr>
            <w:color w:val="0000EE"/>
            <w:u w:val="single"/>
          </w:rPr>
          <w:t>[1]</w:t>
        </w:r>
      </w:hyperlink>
      <w:r/>
    </w:p>
    <w:p>
      <w:r/>
      <w:r>
        <w:t xml:space="preserve">School safety is reframed as a strategic asset rather than an add‑on. eSchool News reports a shift toward everyday emergency preparedness, medical incidents, behavioural events and wellness concerns, and predicts wider adoption of wearable panic buttons, AED mapping and integrated safety platforms that both protect students and support recruitment, retention and community trust, as noted by Brent Cobb and Jill Klausing. </w:t>
      </w:r>
      <w:hyperlink r:id="rId9">
        <w:r>
          <w:rPr>
            <w:color w:val="0000EE"/>
            <w:u w:val="single"/>
          </w:rPr>
          <w:t>[1]</w:t>
        </w:r>
      </w:hyperlink>
      <w:r/>
    </w:p>
    <w:p>
      <w:r/>
      <w:r>
        <w:t xml:space="preserve">Equity, special education and workforce capacity present intertwined challenges. With special‑education referrals climbing above 15 percent, the publication highlights calls for improved assessment accuracy, consolidated clinician partnerships and technology that eases professional workload while centring expert judgment, a point raised by Dr. Katy Genseke and Chris Miller. Similarly, leaders urge districts to treat instructional audio, accessible design and family communication as core infrastructure to reduce cognitive load and reach diverse learners. </w:t>
      </w:r>
      <w:hyperlink r:id="rId9">
        <w:r>
          <w:rPr>
            <w:color w:val="0000EE"/>
            <w:u w:val="single"/>
          </w:rPr>
          <w:t>[1]</w:t>
        </w:r>
      </w:hyperlink>
      <w:r/>
    </w:p>
    <w:p>
      <w:r/>
      <w:r>
        <w:t xml:space="preserve">Finally, amid the many technological shifts, contributors in eSchool News repeatedly stress the same refrain: technology must augment, not replace, human teaching. From Adeel Khan’s vision of AI as a “studio” that deepens student thinking to Gaspard Maldonado’s “coaches first” model, the consensus is clear, AI and immersive tools should free educators to focus on motivation, pedagogy and human connection while districts invest in governance, professional development and evidence‑based implementation to ensure equitable impact.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(eSchool News) - Paragraph 1, Paragraph 2, Paragraph 3, Paragraph 4, Paragraph 5, Paragraph 6, Paragraph 7, Paragraph 8</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https://www.eschoolnews.com/innovative-teaching/2026/01/01/draft-2026-predictions/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choolnews.com/innovative-teaching/2026/01/01/draft-2026-prediction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