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2025 policy shift marks a pivotal moment in digital governance and data protection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Indian technology policy landscape in 2025 was dominated by a push to recalibrate the balance between digital innovation, individual rights and state control, with the passage of the Digital Personal Data Protection regime marking the year’s most consequential milestone. According to Medianama’s year-in-review, MeitY’s Digital Personal Data Protection Rules were the central development after being finalised in November, establishing new norms for consent management, data processing and the rights of data principals with a phased 18-month implementation. </w:t>
      </w:r>
      <w:hyperlink r:id="rId9">
        <w:r>
          <w:rPr>
            <w:color w:val="0000EE"/>
            <w:u w:val="single"/>
          </w:rPr>
          <w:t>[1]</w:t>
        </w:r>
      </w:hyperlink>
      <w:hyperlink r:id="rId10">
        <w:r>
          <w:rPr>
            <w:color w:val="0000EE"/>
            <w:u w:val="single"/>
          </w:rPr>
          <w:t>[2]</w:t>
        </w:r>
      </w:hyperlink>
      <w:hyperlink r:id="rId11">
        <w:r>
          <w:rPr>
            <w:color w:val="0000EE"/>
            <w:u w:val="single"/>
          </w:rPr>
          <w:t>[6]</w:t>
        </w:r>
      </w:hyperlink>
      <w:hyperlink r:id="rId12">
        <w:r>
          <w:rPr>
            <w:color w:val="0000EE"/>
            <w:u w:val="single"/>
          </w:rPr>
          <w:t>[7]</w:t>
        </w:r>
      </w:hyperlink>
      <w:r/>
    </w:p>
    <w:p>
      <w:r/>
      <w:r>
        <w:t xml:space="preserve">The arrival of the DPDP Rules followed months of debate over how privacy and data governance should be enforced in India. PwC India and The Times of India provided implementation detail that mirrored the government’s own timeline, noting phased compliance obligations and a renewed emphasis on operationalising consent frameworks for businesses and citizens. Industry advisers warned that the rules will require substantial compliance investments across sectors. </w:t>
      </w:r>
      <w:hyperlink r:id="rId11">
        <w:r>
          <w:rPr>
            <w:color w:val="0000EE"/>
            <w:u w:val="single"/>
          </w:rPr>
          <w:t>[6]</w:t>
        </w:r>
      </w:hyperlink>
      <w:hyperlink r:id="rId12">
        <w:r>
          <w:rPr>
            <w:color w:val="0000EE"/>
            <w:u w:val="single"/>
          </w:rPr>
          <w:t>[7]</w:t>
        </w:r>
      </w:hyperlink>
      <w:hyperlink r:id="rId10">
        <w:r>
          <w:rPr>
            <w:color w:val="0000EE"/>
            <w:u w:val="single"/>
          </w:rPr>
          <w:t>[2]</w:t>
        </w:r>
      </w:hyperlink>
      <w:r/>
    </w:p>
    <w:p>
      <w:r/>
      <w:r>
        <w:t xml:space="preserve">AI regulation emerged as a second, closely related battleground. The government’s stated regulatory posture favoured harm mitigation over blanket ex-ante controls, yet draft measures introduced last year targeted specific AI harms, most notably deepfakes and non-consensual intimate imagery. According to Medianama, draft synthetic information rules, SOPs for NCII takedowns and proposed amendments to the IT Rules signalled a hands-on approach that tries to pair technological safeguards with expedited platform action, while prompting concerns about vague definitions and potential overreach. </w:t>
      </w:r>
      <w:hyperlink r:id="rId9">
        <w:r>
          <w:rPr>
            <w:color w:val="0000EE"/>
            <w:u w:val="single"/>
          </w:rPr>
          <w:t>[1]</w:t>
        </w:r>
      </w:hyperlink>
      <w:r/>
    </w:p>
    <w:p>
      <w:r/>
      <w:r>
        <w:t xml:space="preserve">That tension between targeted intervention and broader restraint was visible across other policy fronts. The Department for Promotion of Industry and Internal Trade’s committee recommended a mandatory AI licensing model with royalties and no opt-out for creators, a proposal that, if adopted, would reshape data sourcing economics for model builders and raise questions about consent and innovation incentives. Media organisations and creators have already begun legal fights over AI training data, with ANI’s suit against OpenAI in the Delhi High Court typifying the clashes likely to define 2026. </w:t>
      </w:r>
      <w:hyperlink r:id="rId9">
        <w:r>
          <w:rPr>
            <w:color w:val="0000EE"/>
            <w:u w:val="single"/>
          </w:rPr>
          <w:t>[1]</w:t>
        </w:r>
      </w:hyperlink>
      <w:r/>
    </w:p>
    <w:p>
      <w:r/>
      <w:r>
        <w:t xml:space="preserve">Parliamentary action on online gaming illustrated how rapid legislative moves can reshape markets overnight. The Promotion and Regulation of Online Gaming Bill, 2025, which Parliament cleared and which is reported to ban real-money gaming and its advertising, produced immediate real-world effects: several operators curtailed or suspended real-money products amid pressure on payments and banking rails, despite ongoing legal challenges. Coverage in The Economic Times, Business Standard and other outlets confirmed the law’s wide prohibitions and the heavy penalties contemplated for non-compliance. </w:t>
      </w:r>
      <w:hyperlink r:id="rId9">
        <w:r>
          <w:rPr>
            <w:color w:val="0000EE"/>
            <w:u w:val="single"/>
          </w:rPr>
          <w:t>[1]</w:t>
        </w:r>
      </w:hyperlink>
      <w:hyperlink r:id="rId13">
        <w:r>
          <w:rPr>
            <w:color w:val="0000EE"/>
            <w:u w:val="single"/>
          </w:rPr>
          <w:t>[3]</w:t>
        </w:r>
      </w:hyperlink>
      <w:hyperlink r:id="rId14">
        <w:r>
          <w:rPr>
            <w:color w:val="0000EE"/>
            <w:u w:val="single"/>
          </w:rPr>
          <w:t>[5]</w:t>
        </w:r>
      </w:hyperlink>
      <w:hyperlink r:id="rId15">
        <w:r>
          <w:rPr>
            <w:color w:val="0000EE"/>
            <w:u w:val="single"/>
          </w:rPr>
          <w:t>[4]</w:t>
        </w:r>
      </w:hyperlink>
      <w:r/>
    </w:p>
    <w:p>
      <w:r/>
      <w:r>
        <w:t xml:space="preserve">Competition and consumer-protection scrutiny intensified across e-commerce and quick commerce. Government task forces and the Central Consumer Protection Authority moved to counter “dark patterns”, requiring major platforms to conduct self-audits and disclose practices that could mislead users. Parliamentary reports and the CCI’s inquiries into deep discounting flagged potential market distortions that regulators said they have the tools to address. These developments indicate a regulatory tilt toward protecting smaller sellers and consumers from platform-driven distortions. </w:t>
      </w:r>
      <w:hyperlink r:id="rId9">
        <w:r>
          <w:rPr>
            <w:color w:val="0000EE"/>
            <w:u w:val="single"/>
          </w:rPr>
          <w:t>[1]</w:t>
        </w:r>
      </w:hyperlink>
      <w:r/>
    </w:p>
    <w:p>
      <w:r/>
      <w:r>
        <w:t xml:space="preserve">Telecom and access policy also saw significant interventions. Draft telecom policy changes opened the door to more satellite communications players while layering national-security conditions into licensing; meanwhile proposals to mandate default caller ID, mobile-number validation and even SIM-binding for messaging accounts provoked privacy debates. The government’s withdrawn attempt to require pre-installation of the Sanchar Saathi app earlier in the year illustrated the limits of top-down device mandates when privacy and feasibility objections crystallise. </w:t>
      </w:r>
      <w:hyperlink r:id="rId9">
        <w:r>
          <w:rPr>
            <w:color w:val="0000EE"/>
            <w:u w:val="single"/>
          </w:rPr>
          <w:t>[1]</w:t>
        </w:r>
      </w:hyperlink>
      <w:r/>
    </w:p>
    <w:p>
      <w:r/>
      <w:r>
        <w:t xml:space="preserve">Free rollout strategies by major AI firms altered the market landscape and government responses. Medianama noted moves by OpenAI and others to expand free tiers for large Indian user bases as part of long-term platform strategies to build stickiness, even as legal conflicts over content use and copyright escalated domestically. At the same time, copyright disputes, ANI’s takedown actions against YouTubers and broader questions about fair dealing, have placed media organisations at the centre of debates about how generative AI should be permitted to access and reuse news content. </w:t>
      </w:r>
      <w:hyperlink r:id="rId9">
        <w:r>
          <w:rPr>
            <w:color w:val="0000EE"/>
            <w:u w:val="single"/>
          </w:rPr>
          <w:t>[1]</w:t>
        </w:r>
      </w:hyperlink>
      <w:r/>
    </w:p>
    <w:p>
      <w:r/>
      <w:r>
        <w:t xml:space="preserve">Online speech continued to be a flashpoint. The Sahyog Portal’s expansion, opaque takedown orders affecting platforms such as X and government-directed content removals prompted renewed scrutiny from civil-society and industry stakeholders who warned about due process deficits and chilling effects on expression. High-profile incidents involving celebrity-targeted scam ads and contentious removals under the IT Rules underscored the practical consequences of enforcement choices for creators and platforms alike. </w:t>
      </w:r>
      <w:hyperlink r:id="rId9">
        <w:r>
          <w:rPr>
            <w:color w:val="0000EE"/>
            <w:u w:val="single"/>
          </w:rPr>
          <w:t>[1]</w:t>
        </w:r>
      </w:hyperlink>
      <w:r/>
    </w:p>
    <w:p>
      <w:r/>
      <w:r>
        <w:t xml:space="preserve">India’s 2025 policy trajectory thus combined decisive regulatory intervention with unresolved trade-offs. The DPDP Rules provide a new statutory scaffold for data protection while parallel actions on AI, competition, telecoms and online speech suggest a governance agenda that is interventionist and sectorally granular. As Medianama observed in its annual wrap, many of the year’s most consequential debates will carry into 2026, particularly the legal battles over AI training data, the implementation challenges of the DPDP Rules and the market shockwaves from the ban on real-money gaming. </w:t>
      </w:r>
      <w:hyperlink r:id="rId9">
        <w:r>
          <w:rPr>
            <w:color w:val="0000EE"/>
            <w:u w:val="single"/>
          </w:rPr>
          <w:t>[1]</w:t>
        </w:r>
      </w:hyperlink>
      <w:hyperlink r:id="rId10">
        <w:r>
          <w:rPr>
            <w:color w:val="0000EE"/>
            <w:u w:val="single"/>
          </w:rPr>
          <w:t>[2]</w:t>
        </w:r>
      </w:hyperlink>
      <w:hyperlink r:id="rId13">
        <w:r>
          <w:rPr>
            <w:color w:val="0000EE"/>
            <w:u w:val="single"/>
          </w:rPr>
          <w:t>[3]</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(Medianama) - Paragraph 1, Paragraph 3, Paragraph 4, Paragraph 5, Paragraph 6, Paragraph 7, Paragraph 8, Paragraph 9, Paragraph 10</w:t>
      </w:r>
      <w:r/>
    </w:p>
    <w:p>
      <w:pPr>
        <w:pStyle w:val="ListBullet"/>
        <w:spacing w:line="240" w:lineRule="auto"/>
        <w:ind w:left="720"/>
      </w:pPr>
      <w:r/>
      <w:hyperlink r:id="rId10">
        <w:r>
          <w:rPr>
            <w:color w:val="0000EE"/>
            <w:u w:val="single"/>
          </w:rPr>
          <w:t>[2]</w:t>
        </w:r>
      </w:hyperlink>
      <w:r>
        <w:t xml:space="preserve"> (MeitY Digital Personal Data Protection Rules, 2025) - Paragraph 1, Paragraph 2</w:t>
      </w:r>
      <w:r/>
    </w:p>
    <w:p>
      <w:pPr>
        <w:pStyle w:val="ListBullet"/>
        <w:spacing w:line="240" w:lineRule="auto"/>
        <w:ind w:left="720"/>
      </w:pPr>
      <w:r/>
      <w:hyperlink r:id="rId11">
        <w:r>
          <w:rPr>
            <w:color w:val="0000EE"/>
            <w:u w:val="single"/>
          </w:rPr>
          <w:t>[6]</w:t>
        </w:r>
      </w:hyperlink>
      <w:r>
        <w:t xml:space="preserve"> (PwC India) - Paragraph 2</w:t>
      </w:r>
      <w:r/>
    </w:p>
    <w:p>
      <w:pPr>
        <w:pStyle w:val="ListBullet"/>
        <w:spacing w:line="240" w:lineRule="auto"/>
        <w:ind w:left="720"/>
      </w:pPr>
      <w:r/>
      <w:hyperlink r:id="rId12">
        <w:r>
          <w:rPr>
            <w:color w:val="0000EE"/>
            <w:u w:val="single"/>
          </w:rPr>
          <w:t>[7]</w:t>
        </w:r>
      </w:hyperlink>
      <w:r>
        <w:t xml:space="preserve"> (The Times of India) - Paragraph 2</w:t>
      </w:r>
      <w:r/>
    </w:p>
    <w:p>
      <w:pPr>
        <w:pStyle w:val="ListBullet"/>
        <w:spacing w:line="240" w:lineRule="auto"/>
        <w:ind w:left="720"/>
      </w:pPr>
      <w:r/>
      <w:hyperlink r:id="rId13">
        <w:r>
          <w:rPr>
            <w:color w:val="0000EE"/>
            <w:u w:val="single"/>
          </w:rPr>
          <w:t>[3]</w:t>
        </w:r>
      </w:hyperlink>
      <w:r>
        <w:t xml:space="preserve"> (Economic Times) - Paragraph 5</w:t>
      </w:r>
      <w:r/>
    </w:p>
    <w:p>
      <w:pPr>
        <w:pStyle w:val="ListBullet"/>
        <w:spacing w:line="240" w:lineRule="auto"/>
        <w:ind w:left="720"/>
      </w:pPr>
      <w:r/>
      <w:hyperlink r:id="rId14">
        <w:r>
          <w:rPr>
            <w:color w:val="0000EE"/>
            <w:u w:val="single"/>
          </w:rPr>
          <w:t>[5]</w:t>
        </w:r>
      </w:hyperlink>
      <w:r>
        <w:t xml:space="preserve"> (Business Standard) - Paragraph 5</w:t>
      </w:r>
      <w:r/>
    </w:p>
    <w:p>
      <w:pPr>
        <w:pStyle w:val="ListBullet"/>
        <w:spacing w:line="240" w:lineRule="auto"/>
        <w:ind w:left="720"/>
      </w:pPr>
      <w:r/>
      <w:hyperlink r:id="rId15">
        <w:r>
          <w:rPr>
            <w:color w:val="0000EE"/>
            <w:u w:val="single"/>
          </w:rPr>
          <w:t>[4]</w:t>
        </w:r>
      </w:hyperlink>
      <w:r>
        <w:t xml:space="preserve"> (CyberKendra)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https://www.medianama.com/2026/01/223-medianama-year-in-review-2025/</w:t>
        </w:r>
      </w:hyperlink>
      <w:r>
        <w:t xml:space="preserve"> - Please view link - unable to able to access data</w:t>
      </w:r>
      <w:r/>
    </w:p>
    <w:p>
      <w:pPr>
        <w:pStyle w:val="ListNumber"/>
        <w:spacing w:line="240" w:lineRule="auto"/>
        <w:ind w:left="720"/>
      </w:pPr>
      <w:r/>
      <w:hyperlink r:id="rId10">
        <w:r>
          <w:rPr>
            <w:color w:val="0000EE"/>
            <w:u w:val="single"/>
          </w:rPr>
          <w:t>https://www.dsci.in/files/content/documents/2025/Digital-Personal-Data-Protection-Rules-2025.pdf</w:t>
        </w:r>
      </w:hyperlink>
      <w:r>
        <w:t xml:space="preserve"> - The Digital Personal Data Protection Rules, 2025, notified by the Ministry of Electronics and Information Technology (MeitY) on November 13, 2025, operationalise India's first data governance legislation. The rules outline provisions for data protection, including consent management, data processing, and rights of data principals, with a phased implementation plan over 18 months.</w:t>
      </w:r>
      <w:r/>
    </w:p>
    <w:p>
      <w:pPr>
        <w:pStyle w:val="ListNumber"/>
        <w:spacing w:line="240" w:lineRule="auto"/>
        <w:ind w:left="720"/>
      </w:pPr>
      <w:r/>
      <w:hyperlink r:id="rId13">
        <w:r>
          <w:rPr>
            <w:color w:val="0000EE"/>
            <w:u w:val="single"/>
          </w:rPr>
          <w:t>https://economictimes.indiatimes.com/tech/technology/lok-sabha-clears-online-gaming-bill-bans-real-money-play/articleshow/123409796.cms/</w:t>
        </w:r>
      </w:hyperlink>
      <w:r>
        <w:t xml:space="preserve"> - The Indian government has approved the Promotion and Regulation of Online Gaming Bill, 2025, which proposes a ban on real-money gaming. The legislation aims to address issues like fraud, money laundering, and addiction associated with such games, with penalties including imprisonment and fines for violators.</w:t>
      </w:r>
      <w:r/>
    </w:p>
    <w:p>
      <w:pPr>
        <w:pStyle w:val="ListNumber"/>
        <w:spacing w:line="240" w:lineRule="auto"/>
        <w:ind w:left="720"/>
      </w:pPr>
      <w:r/>
      <w:hyperlink r:id="rId15">
        <w:r>
          <w:rPr>
            <w:color w:val="0000EE"/>
            <w:u w:val="single"/>
          </w:rPr>
          <w:t>https://www.cyberkendra.com/2025/08/india-online-gaming-bill-2025.html</w:t>
        </w:r>
      </w:hyperlink>
      <w:r>
        <w:t xml:space="preserve"> - The Online Gaming Bill, 2025, introduced in India, bans all forms of real-money gaming and their advertisements. The law imposes severe penalties on content creators promoting such platforms, including imprisonment and fines, and mandates the removal of existing promotional content related to real-money gaming.</w:t>
      </w:r>
      <w:r/>
    </w:p>
    <w:p>
      <w:pPr>
        <w:pStyle w:val="ListNumber"/>
        <w:spacing w:line="240" w:lineRule="auto"/>
        <w:ind w:left="720"/>
      </w:pPr>
      <w:r/>
      <w:hyperlink r:id="rId14">
        <w:r>
          <w:rPr>
            <w:color w:val="0000EE"/>
            <w:u w:val="single"/>
          </w:rPr>
          <w:t>https://www.business-standard.com/india-news/lok-sabha-passes-bill-to-promote-e-sports-social-games-completely-ban-rmg-125082001523_1.html</w:t>
        </w:r>
      </w:hyperlink>
      <w:r>
        <w:t xml:space="preserve"> - The Indian Parliament has passed the Promotion and Regulation of Online Gaming Bill, 2025, which bans all forms of real-money gaming and their advertisements. The bill proposes penalties, including imprisonment and fines, for those offering or facilitating real-money gaming services in the country.</w:t>
      </w:r>
      <w:r/>
    </w:p>
    <w:p>
      <w:pPr>
        <w:pStyle w:val="ListNumber"/>
        <w:spacing w:line="240" w:lineRule="auto"/>
        <w:ind w:left="720"/>
      </w:pPr>
      <w:r/>
      <w:hyperlink r:id="rId11">
        <w:r>
          <w:rPr>
            <w:color w:val="0000EE"/>
            <w:u w:val="single"/>
          </w:rPr>
          <w:t>https://www.pwc.in/assets/pdfs/news-alert/regulatory-insights/2025/pwc_india_regulatory_insights_16_november_2025_meity_notifies_digital_personal_data_protection_rules_2025.pdf</w:t>
        </w:r>
      </w:hyperlink>
      <w:r>
        <w:t xml:space="preserve"> - PwC India provides insights into the Digital Personal Data Protection Rules, 2025, notified by MeitY. The document outlines the phased implementation of the rules, focusing on data protection, consent management, and the rights of data principals, with a compliance timeline over 18 months.</w:t>
      </w:r>
      <w:r/>
    </w:p>
    <w:p>
      <w:pPr>
        <w:pStyle w:val="ListNumber"/>
        <w:spacing w:line="240" w:lineRule="auto"/>
        <w:ind w:left="720"/>
      </w:pPr>
      <w:r/>
      <w:hyperlink r:id="rId12">
        <w:r>
          <w:rPr>
            <w:color w:val="0000EE"/>
            <w:u w:val="single"/>
          </w:rPr>
          <w:t>https://timesofindia.indiatimes.com/technology/tech-news/dpdp-rules-2025-rules-explained-as-they-come-into-effect-what-they-mean-for-you/articleshow/125325252.cms</w:t>
        </w:r>
      </w:hyperlink>
      <w:r>
        <w:t xml:space="preserve"> - The Times of India explains the Digital Personal Data Protection Rules, 2025, detailing their enforcement timeline and implications for individuals and organisations. The article discusses provisions related to consent management, data processing, and the rights of data principals under the new rules.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nama.com/2026/01/223-medianama-year-in-review-2025/" TargetMode="External"/><Relationship Id="rId10" Type="http://schemas.openxmlformats.org/officeDocument/2006/relationships/hyperlink" Target="https://www.dsci.in/files/content/documents/2025/Digital-Personal-Data-Protection-Rules-2025.pdf" TargetMode="External"/><Relationship Id="rId11" Type="http://schemas.openxmlformats.org/officeDocument/2006/relationships/hyperlink" Target="https://www.pwc.in/assets/pdfs/news-alert/regulatory-insights/2025/pwc_india_regulatory_insights_16_november_2025_meity_notifies_digital_personal_data_protection_rules_2025.pdf" TargetMode="External"/><Relationship Id="rId12" Type="http://schemas.openxmlformats.org/officeDocument/2006/relationships/hyperlink" Target="https://timesofindia.indiatimes.com/technology/tech-news/dpdp-rules-2025-rules-explained-as-they-come-into-effect-what-they-mean-for-you/articleshow/125325252.cms" TargetMode="External"/><Relationship Id="rId13" Type="http://schemas.openxmlformats.org/officeDocument/2006/relationships/hyperlink" Target="https://economictimes.indiatimes.com/tech/technology/lok-sabha-clears-online-gaming-bill-bans-real-money-play/articleshow/123409796.cms/" TargetMode="External"/><Relationship Id="rId14" Type="http://schemas.openxmlformats.org/officeDocument/2006/relationships/hyperlink" Target="https://www.business-standard.com/india-news/lok-sabha-passes-bill-to-promote-e-sports-social-games-completely-ban-rmg-125082001523_1.html" TargetMode="External"/><Relationship Id="rId15" Type="http://schemas.openxmlformats.org/officeDocument/2006/relationships/hyperlink" Target="https://www.cyberkendra.com/2025/08/india-online-gaming-bill-202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