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AI adoption in social housing prompts call for stronger governance and ethical safeguards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Adopting artificial intelligence within social housing offers clear operational benefits but also presents practical and ethical risks that housing associations must manage through firm governance, transparency and human oversight. According to the lead analysis by Ben Pumphrey of law firm Anthony Collins, nearly half of UK housing associations now use AI daily, and a further cohort plan to adopt it soon, reflecting rapid uptake across the sector. </w:t>
      </w:r>
      <w:hyperlink r:id="rId9">
        <w:r>
          <w:rPr>
            <w:color w:val="0000EE"/>
            <w:u w:val="single"/>
          </w:rPr>
          <w:t>[1]</w:t>
        </w:r>
      </w:hyperlink>
      <w:hyperlink r:id="rId10">
        <w:r>
          <w:rPr>
            <w:color w:val="0000EE"/>
            <w:u w:val="single"/>
          </w:rPr>
          <w:t>[3]</w:t>
        </w:r>
      </w:hyperlink>
      <w:r/>
    </w:p>
    <w:p>
      <w:r/>
      <w:r>
        <w:t xml:space="preserve">Industry data shows that while adoption is growing, many organisations remain underprepared: surveys and reports highlight gaps in AI strategy, skills, data readiness and investment, leaving providers without a consistent framework for safe deployment. According to a Phoenix report, organisations are embracing AI for routine tasks but often lack the strategic and technical foundations to scale its benefits effectively. </w:t>
      </w:r>
      <w:hyperlink r:id="rId10">
        <w:r>
          <w:rPr>
            <w:color w:val="0000EE"/>
            <w:u w:val="single"/>
          </w:rPr>
          <w:t>[3]</w:t>
        </w:r>
      </w:hyperlink>
      <w:hyperlink r:id="rId11">
        <w:r>
          <w:rPr>
            <w:color w:val="0000EE"/>
            <w:u w:val="single"/>
          </w:rPr>
          <w:t>[4]</w:t>
        </w:r>
      </w:hyperlink>
      <w:r/>
    </w:p>
    <w:p>
      <w:r/>
      <w:r>
        <w:t xml:space="preserve">Regulatory clarity in the UK is limited. Pumphrey notes that statutory governance is largely confined to Article 22 of the UK GDPR on solely automated decision-making, as amended by the Data (Use and Access) Act 2025, alongside non-binding government "five principles" that regulators are encouraged to consider. The absence of a comprehensive risk-classification regime means housing associations must draw on other sources of best practice when judging what constitutes high-risk or prohibited AI uses. </w:t>
      </w:r>
      <w:hyperlink r:id="rId9">
        <w:r>
          <w:rPr>
            <w:color w:val="0000EE"/>
            <w:u w:val="single"/>
          </w:rPr>
          <w:t>[1]</w:t>
        </w:r>
      </w:hyperlink>
      <w:r/>
    </w:p>
    <w:p>
      <w:r/>
      <w:r>
        <w:t xml:space="preserve">In practice, housing providers can and should rely on existing guidance, notably from the Information Commissioner’s Office, and on structured assessments such as Data Protection Impact Assessments (DPIAs). The lead article stresses that DPIAs are mandatory under GDPR for high-risk processing and should evaluate accuracy, bias, the risk of hallucinations, testing history and vendor safeguards. Industry seminars and webinars on AI governance further recommend due diligence on third-party suppliers, including requests for technical and organisational risk-mitigation information. </w:t>
      </w:r>
      <w:hyperlink r:id="rId9">
        <w:r>
          <w:rPr>
            <w:color w:val="0000EE"/>
            <w:u w:val="single"/>
          </w:rPr>
          <w:t>[1]</w:t>
        </w:r>
      </w:hyperlink>
      <w:hyperlink r:id="rId12">
        <w:r>
          <w:rPr>
            <w:color w:val="0000EE"/>
            <w:u w:val="single"/>
          </w:rPr>
          <w:t>[7]</w:t>
        </w:r>
      </w:hyperlink>
      <w:r/>
    </w:p>
    <w:p>
      <w:r/>
      <w:r>
        <w:t xml:space="preserve">Transparency and proportional monitoring are central to building trust among tenants and staff. The ICO’s guidance, cited by Pumphrey, emphasises that monitoring must be proportionate and limited to necessity; research across the sector also documents staff anxiety about covert performance monitoring and tenant reluctance to interact with AI tools. Housing organisations are advised to signpost clearly where automated decision-making is used and to maintain accessible routes for human review in consequential cases. </w:t>
      </w:r>
      <w:hyperlink r:id="rId9">
        <w:r>
          <w:rPr>
            <w:color w:val="0000EE"/>
            <w:u w:val="single"/>
          </w:rPr>
          <w:t>[1]</w:t>
        </w:r>
      </w:hyperlink>
      <w:hyperlink r:id="rId13">
        <w:r>
          <w:rPr>
            <w:color w:val="0000EE"/>
            <w:u w:val="single"/>
          </w:rPr>
          <w:t>[5]</w:t>
        </w:r>
      </w:hyperlink>
      <w:r/>
    </w:p>
    <w:p>
      <w:r/>
      <w:r>
        <w:t xml:space="preserve">Operationally, AI is already delivering visible benefits: automated transcription, AI-driven assistants such as Derby City Council’s “Darcie”, and self-service portals are driving record levels of digital contact between landlords and tenants and helping to standardise responses and surface recurring issues for improvement. However, both sector commentary and surveys caution against deploying solely automated decision-making for high-impact functions such as allocations or stock rationalisation, because AI lacks contextual judgement and emotional intelligence. </w:t>
      </w:r>
      <w:hyperlink r:id="rId9">
        <w:r>
          <w:rPr>
            <w:color w:val="0000EE"/>
            <w:u w:val="single"/>
          </w:rPr>
          <w:t>[1]</w:t>
        </w:r>
      </w:hyperlink>
      <w:hyperlink r:id="rId14">
        <w:r>
          <w:rPr>
            <w:color w:val="0000EE"/>
            <w:u w:val="single"/>
          </w:rPr>
          <w:t>[6]</w:t>
        </w:r>
      </w:hyperlink>
      <w:hyperlink r:id="rId10">
        <w:r>
          <w:rPr>
            <w:color w:val="0000EE"/>
            <w:u w:val="single"/>
          </w:rPr>
          <w:t>[3]</w:t>
        </w:r>
      </w:hyperlink>
      <w:r/>
    </w:p>
    <w:p>
      <w:r/>
      <w:r>
        <w:t xml:space="preserve">International frameworks can inform UK practice. Pumphrey recommends looking to the EU AI Act for a structured risk-based approach, and sector voices urge a balanced pathway that pairs innovation with ethical safeguards and human judgement so that AI amplifies rather than replaces frontline discretion. According to commentary from the National Housing Federation and other sector writers, successful integration will depend on tailored communications to reduce tenant and staff anxiety, investment in skills and data infrastructure, and clear governance arrangements. </w:t>
      </w:r>
      <w:hyperlink r:id="rId9">
        <w:r>
          <w:rPr>
            <w:color w:val="0000EE"/>
            <w:u w:val="single"/>
          </w:rPr>
          <w:t>[1]</w:t>
        </w:r>
      </w:hyperlink>
      <w:hyperlink r:id="rId15">
        <w:r>
          <w:rPr>
            <w:color w:val="0000EE"/>
            <w:u w:val="single"/>
          </w:rPr>
          <w:t>[2]</w:t>
        </w:r>
      </w:hyperlink>
      <w:hyperlink r:id="rId10">
        <w:r>
          <w:rPr>
            <w:color w:val="0000EE"/>
            <w:u w:val="single"/>
          </w:rPr>
          <w:t>[3]</w:t>
        </w:r>
      </w:hyperlink>
      <w:r/>
    </w:p>
    <w:p>
      <w:r/>
      <w:r>
        <w:t xml:space="preserve">If housing associations implement AI with DPIAs, transparent policies, vendor due diligence, and explicit human oversight for high-impact decisions, the technology can deliver efficiency gains and improved service quality while protecting residents’ rights. The combined evidence from legal guidance, sector research and practitioner commentary points to a pragmatic, risk-aware route to adoption rather than an unregulated rush to automate. </w:t>
      </w:r>
      <w:hyperlink r:id="rId9">
        <w:r>
          <w:rPr>
            <w:color w:val="0000EE"/>
            <w:u w:val="single"/>
          </w:rPr>
          <w:t>[1]</w:t>
        </w:r>
      </w:hyperlink>
      <w:hyperlink r:id="rId10">
        <w:r>
          <w:rPr>
            <w:color w:val="0000EE"/>
            <w:u w:val="single"/>
          </w:rPr>
          <w:t>[3]</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(Housing Digital) - Paragraph 1, Paragraph 3, Paragraph 4, Paragraph 5, Paragraph 6, Paragraph 8</w:t>
      </w:r>
      <w:r/>
    </w:p>
    <w:p>
      <w:pPr>
        <w:pStyle w:val="ListBullet"/>
        <w:spacing w:line="240" w:lineRule="auto"/>
        <w:ind w:left="720"/>
      </w:pPr>
      <w:r/>
      <w:hyperlink r:id="rId10">
        <w:r>
          <w:rPr>
            <w:color w:val="0000EE"/>
            <w:u w:val="single"/>
          </w:rPr>
          <w:t>[3]</w:t>
        </w:r>
      </w:hyperlink>
      <w:r>
        <w:t xml:space="preserve"> (Phoenix Report "The State of AI in Housing 2025") - Paragraph 1, Paragraph 2, Paragraph 6, Paragraph 7, Paragraph 8</w:t>
      </w:r>
      <w:r/>
    </w:p>
    <w:p>
      <w:pPr>
        <w:pStyle w:val="ListBullet"/>
        <w:spacing w:line="240" w:lineRule="auto"/>
        <w:ind w:left="720"/>
      </w:pPr>
      <w:r/>
      <w:hyperlink r:id="rId11">
        <w:r>
          <w:rPr>
            <w:color w:val="0000EE"/>
            <w:u w:val="single"/>
          </w:rPr>
          <w:t>[4]</w:t>
        </w:r>
      </w:hyperlink>
      <w:r>
        <w:t xml:space="preserve"> (Housing Digital: Access Paysuite survey) - Paragraph 2</w:t>
      </w:r>
      <w:r/>
    </w:p>
    <w:p>
      <w:pPr>
        <w:pStyle w:val="ListBullet"/>
        <w:spacing w:line="240" w:lineRule="auto"/>
        <w:ind w:left="720"/>
      </w:pPr>
      <w:r/>
      <w:hyperlink r:id="rId12">
        <w:r>
          <w:rPr>
            <w:color w:val="0000EE"/>
            <w:u w:val="single"/>
          </w:rPr>
          <w:t>[7]</w:t>
        </w:r>
      </w:hyperlink>
      <w:r>
        <w:t xml:space="preserve"> (Phoenix webinar "AI and governance for the housing sector") - Paragraph 4, Paragraph 8</w:t>
      </w:r>
      <w:r/>
    </w:p>
    <w:p>
      <w:pPr>
        <w:pStyle w:val="ListBullet"/>
        <w:spacing w:line="240" w:lineRule="auto"/>
        <w:ind w:left="720"/>
      </w:pPr>
      <w:r/>
      <w:hyperlink r:id="rId13">
        <w:r>
          <w:rPr>
            <w:color w:val="0000EE"/>
            <w:u w:val="single"/>
          </w:rPr>
          <w:t>[5]</w:t>
        </w:r>
      </w:hyperlink>
      <w:r>
        <w:t xml:space="preserve"> (Housing Digital: research on trust in AI accuracy) - Paragraph 5</w:t>
      </w:r>
      <w:r/>
    </w:p>
    <w:p>
      <w:pPr>
        <w:pStyle w:val="ListBullet"/>
        <w:spacing w:line="240" w:lineRule="auto"/>
        <w:ind w:left="720"/>
      </w:pPr>
      <w:r/>
      <w:hyperlink r:id="rId14">
        <w:r>
          <w:rPr>
            <w:color w:val="0000EE"/>
            <w:u w:val="single"/>
          </w:rPr>
          <w:t>[6]</w:t>
        </w:r>
      </w:hyperlink>
      <w:r>
        <w:t xml:space="preserve"> (Housing Digital: AI driving record digital contact) - Paragraph 6</w:t>
      </w:r>
      <w:r/>
    </w:p>
    <w:p>
      <w:pPr>
        <w:pStyle w:val="ListBullet"/>
        <w:spacing w:line="240" w:lineRule="auto"/>
        <w:ind w:left="720"/>
      </w:pPr>
      <w:r/>
      <w:hyperlink r:id="rId15">
        <w:r>
          <w:rPr>
            <w:color w:val="0000EE"/>
            <w:u w:val="single"/>
          </w:rPr>
          <w:t>[2]</w:t>
        </w:r>
      </w:hyperlink>
      <w:r>
        <w:t xml:space="preserve"> (National Housing Federation / Housing.org.uk blog)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https://housingdigital.co.uk/how-to-use-ai-responsibly-in-social-housing/</w:t>
        </w:r>
      </w:hyperlink>
      <w:r>
        <w:t xml:space="preserve"> - Please view link - unable to able to access data</w:t>
      </w:r>
      <w:r/>
    </w:p>
    <w:p>
      <w:pPr>
        <w:pStyle w:val="ListNumber"/>
        <w:spacing w:line="240" w:lineRule="auto"/>
        <w:ind w:left="720"/>
      </w:pPr>
      <w:r/>
      <w:hyperlink r:id="rId15">
        <w:r>
          <w:rPr>
            <w:color w:val="0000EE"/>
            <w:u w:val="single"/>
          </w:rPr>
          <w:t>https://www.housing.org.uk/news-and-blogs/blogs/cara-green/welcoming-artificial-intelligence-ai-through-the-door-of-social-housing--how-we-can-use-ai-to-improve-delivery/</w:t>
        </w:r>
      </w:hyperlink>
      <w:r>
        <w:t xml:space="preserve"> - This article discusses the integration of artificial intelligence (AI) into social housing, highlighting its potential to enhance service delivery. It notes that while AI adoption is growing, many housing associations lack clear policies and governance frameworks. The piece emphasises the importance of responsible AI use, advocating for a balanced approach that prioritises governance, ethics, and human judgement to ensure AI supports the mission of housing providers effectively.</w:t>
      </w:r>
      <w:r/>
    </w:p>
    <w:p>
      <w:pPr>
        <w:pStyle w:val="ListNumber"/>
        <w:spacing w:line="240" w:lineRule="auto"/>
        <w:ind w:left="720"/>
      </w:pPr>
      <w:r/>
      <w:hyperlink r:id="rId10">
        <w:r>
          <w:rPr>
            <w:color w:val="0000EE"/>
            <w:u w:val="single"/>
          </w:rPr>
          <w:t>https://www.phoenixs.co.uk/the-state-of-ai-in-housing-2025/</w:t>
        </w:r>
      </w:hyperlink>
      <w:r>
        <w:t xml:space="preserve"> - This report provides insights into AI adoption within the housing sector, revealing that nearly half of housing associations use AI daily. However, it highlights significant gaps in AI strategy, skills, and data readiness among these organisations. The findings suggest that while AI is being embraced, many housing associations are unprepared to harness its full potential, underscoring the need for clear governance and strategic direction in AI implementation.</w:t>
      </w:r>
      <w:r/>
    </w:p>
    <w:p>
      <w:pPr>
        <w:pStyle w:val="ListNumber"/>
        <w:spacing w:line="240" w:lineRule="auto"/>
        <w:ind w:left="720"/>
      </w:pPr>
      <w:r/>
      <w:hyperlink r:id="rId11">
        <w:r>
          <w:rPr>
            <w:color w:val="0000EE"/>
            <w:u w:val="single"/>
          </w:rPr>
          <w:t>https://www.housingdigital.co.uk/housing-associations-lag-behind-on-ai-investment-claims-survey/</w:t>
        </w:r>
      </w:hyperlink>
      <w:r>
        <w:t xml:space="preserve"> - A survey commissioned by Access Paysuite indicates that less than half of UK housing associations have invested in AI tools, compared to 58% across the public sector. Despite this, 22% of housing associations plan to invest in AI within the next 12 months, highlighting a growing recognition of AI's potential in the sector and the need for increased investment to keep pace with technological advancements.</w:t>
      </w:r>
      <w:r/>
    </w:p>
    <w:p>
      <w:pPr>
        <w:pStyle w:val="ListNumber"/>
        <w:spacing w:line="240" w:lineRule="auto"/>
        <w:ind w:left="720"/>
      </w:pPr>
      <w:r/>
      <w:hyperlink r:id="rId13">
        <w:r>
          <w:rPr>
            <w:color w:val="0000EE"/>
            <w:u w:val="single"/>
          </w:rPr>
          <w:t>https://www.housingdigital.co.uk/research-highlights-lack-of-trust-in-ais-accuracy/</w:t>
        </w:r>
      </w:hyperlink>
      <w:r>
        <w:t xml:space="preserve"> - Research into AI adoption in the social housing sector reveals a lack of trust in AI's accuracy among staff. The study found that while AI adoption is growing, organisations are unprepared to harness its full potential, with staff expressing concerns about the reliability of AI-generated information. This underscores the need for clear governance and transparency in AI implementation to build trust and ensure effective use.</w:t>
      </w:r>
      <w:r/>
    </w:p>
    <w:p>
      <w:pPr>
        <w:pStyle w:val="ListNumber"/>
        <w:spacing w:line="240" w:lineRule="auto"/>
        <w:ind w:left="720"/>
      </w:pPr>
      <w:r/>
      <w:hyperlink r:id="rId14">
        <w:r>
          <w:rPr>
            <w:color w:val="0000EE"/>
            <w:u w:val="single"/>
          </w:rPr>
          <w:t>https://www.housingdigital.co.uk/ai-adoption-driving-record-levels-of-digital-contact/</w:t>
        </w:r>
      </w:hyperlink>
      <w:r>
        <w:t xml:space="preserve"> - This article reports that digital contact between landlords and tenants has reached record levels, driven by AI and self-service portals. The data suggests that AI is becoming a visible and accessible part of the customer experience, with landlords adopting digital solutions to enhance service efficiency and responsiveness to tenant needs.</w:t>
      </w:r>
      <w:r/>
    </w:p>
    <w:p>
      <w:pPr>
        <w:pStyle w:val="ListNumber"/>
        <w:spacing w:line="240" w:lineRule="auto"/>
        <w:ind w:left="720"/>
      </w:pPr>
      <w:r/>
      <w:hyperlink r:id="rId12">
        <w:r>
          <w:rPr>
            <w:color w:val="0000EE"/>
            <w:u w:val="single"/>
          </w:rPr>
          <w:t>https://www.phoenixs.co.uk/resources/on-demand-webinar/ai-and-governance-for-the-housing-sector/</w:t>
        </w:r>
      </w:hyperlink>
      <w:r>
        <w:t xml:space="preserve"> - An on-demand webinar discussing the role of AI in transforming housing sector operations, focusing on the importance of governance to ensure responsible AI use. The session covers understanding data access, current AI usage, AI governance, basic safeguards, AI frameworks, and ethical considerations, providing insights into implementing AI securely and ethically within housing organisations.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usingdigital.co.uk/how-to-use-ai-responsibly-in-social-housing/" TargetMode="External"/><Relationship Id="rId10" Type="http://schemas.openxmlformats.org/officeDocument/2006/relationships/hyperlink" Target="https://www.phoenixs.co.uk/the-state-of-ai-in-housing-2025/" TargetMode="External"/><Relationship Id="rId11" Type="http://schemas.openxmlformats.org/officeDocument/2006/relationships/hyperlink" Target="https://www.housingdigital.co.uk/housing-associations-lag-behind-on-ai-investment-claims-survey/" TargetMode="External"/><Relationship Id="rId12" Type="http://schemas.openxmlformats.org/officeDocument/2006/relationships/hyperlink" Target="https://www.phoenixs.co.uk/resources/on-demand-webinar/ai-and-governance-for-the-housing-sector/" TargetMode="External"/><Relationship Id="rId13" Type="http://schemas.openxmlformats.org/officeDocument/2006/relationships/hyperlink" Target="https://www.housingdigital.co.uk/research-highlights-lack-of-trust-in-ais-accuracy/" TargetMode="External"/><Relationship Id="rId14" Type="http://schemas.openxmlformats.org/officeDocument/2006/relationships/hyperlink" Target="https://www.housingdigital.co.uk/ai-adoption-driving-record-levels-of-digital-contact/" TargetMode="External"/><Relationship Id="rId15" Type="http://schemas.openxmlformats.org/officeDocument/2006/relationships/hyperlink" Target="https://www.housing.org.uk/news-and-blogs/blogs/cara-green/welcoming-artificial-intelligence-ai-through-the-door-of-social-housing--how-we-can-use-ai-to-improve-delive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