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Smaller publishers gain ground as programmatic advertising lowers entry barriers and shifts focus to niche and direct demand</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Small publishers with engaged but modest audiences continue to face structural barriers to programmatic advertising as many supply‑side platforms (SSPs) impose minimum monthly traffic thresholds that exclude sites far below the 500,000–millions of pageviews some platforms require, creating a catch‑22 in which publishers need revenue to scale but cannot access premium demand until they already have scale. </w:t>
      </w:r>
      <w:hyperlink r:id="rId9">
        <w:r>
          <w:rPr>
            <w:color w:val="0000EE"/>
            <w:u w:val="single"/>
          </w:rPr>
          <w:t>[1]</w:t>
        </w:r>
      </w:hyperlink>
      <w:r/>
    </w:p>
    <w:p>
      <w:r/>
      <w:r>
        <w:t xml:space="preserve">Platform economics and quality‑control concerns largely explain those minimums: SSPs incur fixed costs for account management, technical support and infrastructure that are easier to justify for high‑volume partners, while minimums also serve as blunt filters against spammy or low‑quality inventory. However, traffic alone is a poor proxy for value, because niche publications with smaller but highly engaged audiences often deliver stronger advertiser outcomes than larger yet unfocused sites. </w:t>
      </w:r>
      <w:hyperlink r:id="rId9">
        <w:r>
          <w:rPr>
            <w:color w:val="0000EE"/>
            <w:u w:val="single"/>
          </w:rPr>
          <w:t>[1]</w:t>
        </w:r>
      </w:hyperlink>
      <w:r/>
    </w:p>
    <w:p>
      <w:r/>
      <w:r>
        <w:t xml:space="preserve">The programmatic ecosystem is showing signs of adaptation. According to Search Engine Journal, Raptive cut its minimum monthly pageview requirement from 100,000 to 25,000 in a move designed to widen access for smaller publishers and to prioritise content quality and originality over raw scale. Likewise, specialised ad networks such as Small Site Ads explicitly target small publishers by offering fast approvals, low payment thresholds and flexible formats without traffic minimums. These developments suggest practical alternatives to entrenched minimums. </w:t>
      </w:r>
      <w:hyperlink r:id="rId10">
        <w:r>
          <w:rPr>
            <w:color w:val="0000EE"/>
            <w:u w:val="single"/>
          </w:rPr>
          <w:t>[3]</w:t>
        </w:r>
      </w:hyperlink>
      <w:hyperlink r:id="rId11">
        <w:r>
          <w:rPr>
            <w:color w:val="0000EE"/>
            <w:u w:val="single"/>
          </w:rPr>
          <w:t>[4]</w:t>
        </w:r>
      </w:hyperlink>
      <w:r/>
    </w:p>
    <w:p>
      <w:r/>
      <w:r>
        <w:t xml:space="preserve">Yet programmatic remains only one piece of the monetisation puzzle for smaller publishers. A report by Tiny News Co found that less than 15% of small publishers use programmatic advertising; newsletters, sponsorships and underwriting deliver a larger share of revenue for community‑focused outlets. That reality underlines why many small publishers pursue direct sales, newsletter monetisation and community sponsorships alongside or instead of open programmatic. </w:t>
      </w:r>
      <w:hyperlink r:id="rId12">
        <w:r>
          <w:rPr>
            <w:color w:val="0000EE"/>
            <w:u w:val="single"/>
          </w:rPr>
          <w:t>[5]</w:t>
        </w:r>
      </w:hyperlink>
      <w:r/>
    </w:p>
    <w:p>
      <w:r/>
      <w:r>
        <w:t xml:space="preserve">Practical strategies exist for publishers who do want to compete programmatically. Industry guidance emphasises specialising in a niche to boost engagement, leveraging first‑party data as cookies wane, experimenting with header bidding to increase auction competition, and building direct advertiser relationships for reliable, higher‑value deals. According to PubPower, these tactics, combined with continuous measurement and optimisation, help smaller sites extract more value from limited inventory. </w:t>
      </w:r>
      <w:hyperlink r:id="rId13">
        <w:r>
          <w:rPr>
            <w:color w:val="0000EE"/>
            <w:u w:val="single"/>
          </w:rPr>
          <w:t>[2]</w:t>
        </w:r>
      </w:hyperlink>
      <w:r/>
    </w:p>
    <w:p>
      <w:r/>
      <w:r>
        <w:t xml:space="preserve">Choice of SSP and technical approach should match resources. Lead reporting, reasonable payout thresholds and low‑friction onboarding matter more than enterprise features for resource‑constrained teams. Some SSPs demand custom integrations and ongoing maintenance; others offer simple tag‑based setups and autonomous operation after launch. Platforms that offer clear documentation and responsive support reduce the ad‑operations burden on small teams. </w:t>
      </w:r>
      <w:hyperlink r:id="rId9">
        <w:r>
          <w:rPr>
            <w:color w:val="0000EE"/>
            <w:u w:val="single"/>
          </w:rPr>
          <w:t>[1]</w:t>
        </w:r>
      </w:hyperlink>
      <w:hyperlink r:id="rId11">
        <w:r>
          <w:rPr>
            <w:color w:val="0000EE"/>
            <w:u w:val="single"/>
          </w:rPr>
          <w:t>[4]</w:t>
        </w:r>
      </w:hyperlink>
      <w:r/>
    </w:p>
    <w:p>
      <w:r/>
      <w:r>
        <w:t xml:space="preserve">Demand access can be broadened without scale by pursuing niche demand sources and hybrid models. Publishers in verticals such as healthcare, finance or B2B technology can target advertisers and DSPs that value context and audience relevance, while hybrid SSP/ad‑network models and curated advertiser relationships can channel premium demand to modest inventories that would otherwise be overlooked. Direct sales to complementary brands remains a high‑return route for many small publishers. </w:t>
      </w:r>
      <w:hyperlink r:id="rId9">
        <w:r>
          <w:rPr>
            <w:color w:val="0000EE"/>
            <w:u w:val="single"/>
          </w:rPr>
          <w:t>[1]</w:t>
        </w:r>
      </w:hyperlink>
      <w:hyperlink r:id="rId13">
        <w:r>
          <w:rPr>
            <w:color w:val="0000EE"/>
            <w:u w:val="single"/>
          </w:rPr>
          <w:t>[2]</w:t>
        </w:r>
      </w:hyperlink>
      <w:r/>
    </w:p>
    <w:p>
      <w:r/>
      <w:r>
        <w:t xml:space="preserve">For some publishers, bespoke technology is an option. The lead article notes that firms such as Geomotiv build custom supply‑side solutions that scale with the publisher, enabling unique integrations, control over monetisation and the ability to preserve first‑party data and specialised formats. Custom development requires careful cost‑benefit analysis but can be justified where publishers expect rapid growth or possess proprietary audience assets. </w:t>
      </w:r>
      <w:hyperlink r:id="rId9">
        <w:r>
          <w:rPr>
            <w:color w:val="0000EE"/>
            <w:u w:val="single"/>
          </w:rPr>
          <w:t>[1]</w:t>
        </w:r>
      </w:hyperlink>
      <w:r/>
    </w:p>
    <w:p>
      <w:r/>
      <w:r>
        <w:t xml:space="preserve">Sustainable monetisation requires balancing revenue with audience experience. Excessive ad density or intrusive formats can erode engagement and stunt growth; testing, conservative rollouts and placements that respect editorial design yield healthier long‑term outcomes. Brand‑safety controls and selective partner choices help preserve trust while opening monetisation opportunities. Industry analyses of programmatic challenges emphasise viewability, fraud detection and brand safety as persistent issues that must be managed proportionately to scale. </w:t>
      </w:r>
      <w:hyperlink r:id="rId14">
        <w:r>
          <w:rPr>
            <w:color w:val="0000EE"/>
            <w:u w:val="single"/>
          </w:rPr>
          <w:t>[6]</w:t>
        </w:r>
      </w:hyperlink>
      <w:hyperlink r:id="rId15">
        <w:r>
          <w:rPr>
            <w:color w:val="0000EE"/>
            <w:u w:val="single"/>
          </w:rPr>
          <w:t>[7]</w:t>
        </w:r>
      </w:hyperlink>
      <w:r/>
    </w:p>
    <w:p>
      <w:r/>
      <w:r>
        <w:t xml:space="preserve">In sum, meaningful programmatic monetisation for small publishers is attainable if outlets adopt realistic revenue expectations, choose partners and technical solutions aligned with their resources, pursue niche and direct demand where possible, and protect user experience while building infrastructure that can evolve with growth. Recent platform moves to lower entry barriers and specialised networks for small sites underscore that alternatives exist beyond the old traffic minimum paradigm. </w:t>
      </w:r>
      <w:hyperlink r:id="rId9">
        <w:r>
          <w:rPr>
            <w:color w:val="0000EE"/>
            <w:u w:val="single"/>
          </w:rPr>
          <w:t>[1]</w:t>
        </w:r>
      </w:hyperlink>
      <w:hyperlink r:id="rId10">
        <w:r>
          <w:rPr>
            <w:color w:val="0000EE"/>
            <w:u w:val="single"/>
          </w:rPr>
          <w:t>[3]</w:t>
        </w:r>
      </w:hyperlink>
      <w:hyperlink r:id="rId11">
        <w:r>
          <w:rPr>
            <w:color w:val="0000EE"/>
            <w:u w:val="single"/>
          </w:rPr>
          <w:t>[4]</w:t>
        </w:r>
      </w:hyperlink>
      <w:hyperlink r:id="rId12">
        <w:r>
          <w:rPr>
            <w:color w:val="0000EE"/>
            <w:u w:val="single"/>
          </w:rPr>
          <w:t>[5]</w:t>
        </w:r>
      </w:hyperlink>
      <w:hyperlink r:id="rId13">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(BNO News) - Paragraph 1, Paragraph 2, Paragraph 6, Paragraph 8, Paragraph 10</w:t>
      </w:r>
      <w:r/>
    </w:p>
    <w:p>
      <w:pPr>
        <w:pStyle w:val="ListBullet"/>
        <w:spacing w:line="240" w:lineRule="auto"/>
        <w:ind w:left="720"/>
      </w:pPr>
      <w:r/>
      <w:hyperlink r:id="rId10">
        <w:r>
          <w:rPr>
            <w:color w:val="0000EE"/>
            <w:u w:val="single"/>
          </w:rPr>
          <w:t>[3]</w:t>
        </w:r>
      </w:hyperlink>
      <w:r>
        <w:t xml:space="preserve"> (Search Engine Journal) - Paragraph 3, Paragraph 10</w:t>
      </w:r>
      <w:r/>
    </w:p>
    <w:p>
      <w:pPr>
        <w:pStyle w:val="ListBullet"/>
        <w:spacing w:line="240" w:lineRule="auto"/>
        <w:ind w:left="720"/>
      </w:pPr>
      <w:r/>
      <w:hyperlink r:id="rId11">
        <w:r>
          <w:rPr>
            <w:color w:val="0000EE"/>
            <w:u w:val="single"/>
          </w:rPr>
          <w:t>[4]</w:t>
        </w:r>
      </w:hyperlink>
      <w:r>
        <w:t xml:space="preserve"> (Small Site Ads) - Paragraph 3, Paragraph 6</w:t>
      </w:r>
      <w:r/>
    </w:p>
    <w:p>
      <w:pPr>
        <w:pStyle w:val="ListBullet"/>
        <w:spacing w:line="240" w:lineRule="auto"/>
        <w:ind w:left="720"/>
      </w:pPr>
      <w:r/>
      <w:hyperlink r:id="rId12">
        <w:r>
          <w:rPr>
            <w:color w:val="0000EE"/>
            <w:u w:val="single"/>
          </w:rPr>
          <w:t>[5]</w:t>
        </w:r>
      </w:hyperlink>
      <w:r>
        <w:t xml:space="preserve"> (Tiny News Co) - Paragraph 4, Paragraph 10</w:t>
      </w:r>
      <w:r/>
    </w:p>
    <w:p>
      <w:pPr>
        <w:pStyle w:val="ListBullet"/>
        <w:spacing w:line="240" w:lineRule="auto"/>
        <w:ind w:left="720"/>
      </w:pPr>
      <w:r/>
      <w:hyperlink r:id="rId13">
        <w:r>
          <w:rPr>
            <w:color w:val="0000EE"/>
            <w:u w:val="single"/>
          </w:rPr>
          <w:t>[2]</w:t>
        </w:r>
      </w:hyperlink>
      <w:r>
        <w:t xml:space="preserve"> (PubPower) - Paragraph 5, Paragraph 10</w:t>
      </w:r>
      <w:r/>
    </w:p>
    <w:p>
      <w:pPr>
        <w:pStyle w:val="ListBullet"/>
        <w:spacing w:line="240" w:lineRule="auto"/>
        <w:ind w:left="720"/>
      </w:pPr>
      <w:r/>
      <w:hyperlink r:id="rId14">
        <w:r>
          <w:rPr>
            <w:color w:val="0000EE"/>
            <w:u w:val="single"/>
          </w:rPr>
          <w:t>[6]</w:t>
        </w:r>
      </w:hyperlink>
      <w:r>
        <w:t xml:space="preserve"> (Equimedia) - Paragraph 9</w:t>
      </w:r>
      <w:r/>
    </w:p>
    <w:p>
      <w:pPr>
        <w:pStyle w:val="ListBullet"/>
        <w:spacing w:line="240" w:lineRule="auto"/>
        <w:ind w:left="720"/>
      </w:pPr>
      <w:r/>
      <w:hyperlink r:id="rId15">
        <w:r>
          <w:rPr>
            <w:color w:val="0000EE"/>
            <w:u w:val="single"/>
          </w:rPr>
          <w:t>[7]</w:t>
        </w:r>
      </w:hyperlink>
      <w:r>
        <w:t xml:space="preserve"> (Outbrain)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https://bnonews.com/index.php/2026/01/programmatic-advertising-remains-out-of-reach-for-many-small-publishers/</w:t>
        </w:r>
      </w:hyperlink>
      <w:r>
        <w:t xml:space="preserve"> - Please view link - unable to able to access data</w:t>
      </w:r>
      <w:r/>
    </w:p>
    <w:p>
      <w:pPr>
        <w:pStyle w:val="ListNumber"/>
        <w:spacing w:line="240" w:lineRule="auto"/>
        <w:ind w:left="720"/>
      </w:pPr>
      <w:r/>
      <w:hyperlink r:id="rId13">
        <w:r>
          <w:rPr>
            <w:color w:val="0000EE"/>
            <w:u w:val="single"/>
          </w:rPr>
          <w:t>https://pubpower.io/blog/8-tips-help-small-publishers-compete-in-programmatic-advertising/</w:t>
        </w:r>
      </w:hyperlink>
      <w:r>
        <w:t xml:space="preserve"> - This article provides eight strategies to assist small publishers in navigating programmatic advertising. It emphasizes the importance of specializing in niche content to attract high engagement, utilizing header bidding to increase revenue through competition, and gaining access to Google Ad Exchange via Google Certified Publishing Partners. The piece also highlights the significance of leveraging first-party data in a cookieless future, building direct relationships with advertisers, experimenting with diverse ad formats, and continuously measuring and optimizing performance. These approaches aim to help small publishers effectively compete in the programmatic advertising landscape.</w:t>
      </w:r>
      <w:r/>
    </w:p>
    <w:p>
      <w:pPr>
        <w:pStyle w:val="ListNumber"/>
        <w:spacing w:line="240" w:lineRule="auto"/>
        <w:ind w:left="720"/>
      </w:pPr>
      <w:r/>
      <w:hyperlink r:id="rId10">
        <w:r>
          <w:rPr>
            <w:color w:val="0000EE"/>
            <w:u w:val="single"/>
          </w:rPr>
          <w:t>https://www.searchenginejournal.com/raptive-drops-traffic-requirement-by-75-to-25000-views/558780/</w:t>
        </w:r>
      </w:hyperlink>
      <w:r>
        <w:t xml:space="preserve"> - Raptive, a media company and Google Certified Publishing Partner, has reduced its minimum monthly pageview requirement from 100,000 to 25,000, marking a 75% decrease. This change aims to make programmatic advertising more accessible to smaller publishers. Raptive has also retired its Rise pilot program and consolidated all entry-level publishers into its Insider tier, emphasizing quality, originality, and human-created content as selection criteria. This move reflects a shift towards inclusivity in the programmatic advertising space, allowing publishers with modest traffic to participate.</w:t>
      </w:r>
      <w:r/>
    </w:p>
    <w:p>
      <w:pPr>
        <w:pStyle w:val="ListNumber"/>
        <w:spacing w:line="240" w:lineRule="auto"/>
        <w:ind w:left="720"/>
      </w:pPr>
      <w:r/>
      <w:hyperlink r:id="rId11">
        <w:r>
          <w:rPr>
            <w:color w:val="0000EE"/>
            <w:u w:val="single"/>
          </w:rPr>
          <w:t>https://smallsiteads.com/</w:t>
        </w:r>
      </w:hyperlink>
      <w:r>
        <w:t xml:space="preserve"> - Small Site Ads is an ad network tailored for small publishers and websites, offering solutions without minimum traffic requirements. The platform provides fast approvals, low payment thresholds, and a variety of ad formats. It emphasizes global reach, easy setup, and flexible ad options, aiming to support publishers with limited traffic in monetizing their content effectively. This approach addresses the challenges small publishers face in accessing programmatic advertising by offering accessible and supportive monetization solutions.</w:t>
      </w:r>
      <w:r/>
    </w:p>
    <w:p>
      <w:pPr>
        <w:pStyle w:val="ListNumber"/>
        <w:spacing w:line="240" w:lineRule="auto"/>
        <w:ind w:left="720"/>
      </w:pPr>
      <w:r/>
      <w:hyperlink r:id="rId12">
        <w:r>
          <w:rPr>
            <w:color w:val="0000EE"/>
            <w:u w:val="single"/>
          </w:rPr>
          <w:t>https://www.tinynewsco.org/content/files/2025/01/Homegrown-Advertising-How-small-publishers-want-to-build-revenue-streams-that-reflect-their-communities-1.pdf</w:t>
        </w:r>
      </w:hyperlink>
      <w:r>
        <w:t xml:space="preserve"> - This report explores how small publishers are developing revenue streams that reflect their communities. It highlights the limited use of programmatic advertising among these publishers, with less than 15% utilizing it on their sites. Instead, newsletters and sponsorships, including sponsored content and underwriting-style advertising, provide the largest share of advertising revenue. The report underscores the challenges small publishers face in monetizing their content through programmatic advertising and the importance of alternative revenue models that align with community values.</w:t>
      </w:r>
      <w:r/>
    </w:p>
    <w:p>
      <w:pPr>
        <w:pStyle w:val="ListNumber"/>
        <w:spacing w:line="240" w:lineRule="auto"/>
        <w:ind w:left="720"/>
      </w:pPr>
      <w:r/>
      <w:hyperlink r:id="rId14">
        <w:r>
          <w:rPr>
            <w:color w:val="0000EE"/>
            <w:u w:val="single"/>
          </w:rPr>
          <w:t>https://www.equimedia.co.uk/resources/blog/ten-challenges-programmatic-advertising-and-how-navigate-them</w:t>
        </w:r>
      </w:hyperlink>
      <w:r>
        <w:t xml:space="preserve"> - This article outlines ten challenges associated with programmatic advertising and offers strategies to navigate them. Challenges include brand safety risks, ad fraud, low viewability, complexity, skills and knowledge gaps, privacy and cookie deprecation, and duplication of efforts. The piece emphasizes the need for clear reporting, strict brand safety controls, advanced fraud detection tools, high-impact placements, in-house management of campaigns, and future-proofing strategies to address these issues. It provides insights into overcoming obstacles in the programmatic advertising landscape.</w:t>
      </w:r>
      <w:r/>
    </w:p>
    <w:p>
      <w:pPr>
        <w:pStyle w:val="ListNumber"/>
        <w:spacing w:line="240" w:lineRule="auto"/>
        <w:ind w:left="720"/>
      </w:pPr>
      <w:r/>
      <w:hyperlink r:id="rId15">
        <w:r>
          <w:rPr>
            <w:color w:val="0000EE"/>
            <w:u w:val="single"/>
          </w:rPr>
          <w:t>https://www.outbrain.com/blog/top-5-programmatic-advertising-challenges-and-benefits/</w:t>
        </w:r>
      </w:hyperlink>
      <w:r>
        <w:t xml:space="preserve"> - This article discusses the top five challenges and benefits of programmatic advertising. Benefits include efficiency and scale, granular data-driven targeting, real-time optimization, cost-effectiveness, and easy monitoring. Challenges encompass issues like low viewability and poor inventory quality, complexity and technical challenges, and the need for skills and knowledge. The piece highlights the importance of understanding both the advantages and obstacles in programmatic advertising to effectively leverage its potential while mitigating associated risks.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nonews.com/index.php/2026/01/programmatic-advertising-remains-out-of-reach-for-many-small-publishers/" TargetMode="External"/><Relationship Id="rId10" Type="http://schemas.openxmlformats.org/officeDocument/2006/relationships/hyperlink" Target="https://www.searchenginejournal.com/raptive-drops-traffic-requirement-by-75-to-25000-views/558780/" TargetMode="External"/><Relationship Id="rId11" Type="http://schemas.openxmlformats.org/officeDocument/2006/relationships/hyperlink" Target="https://smallsiteads.com/" TargetMode="External"/><Relationship Id="rId12" Type="http://schemas.openxmlformats.org/officeDocument/2006/relationships/hyperlink" Target="https://www.tinynewsco.org/content/files/2025/01/Homegrown-Advertising-How-small-publishers-want-to-build-revenue-streams-that-reflect-their-communities-1.pdf" TargetMode="External"/><Relationship Id="rId13" Type="http://schemas.openxmlformats.org/officeDocument/2006/relationships/hyperlink" Target="https://pubpower.io/blog/8-tips-help-small-publishers-compete-in-programmatic-advertising/" TargetMode="External"/><Relationship Id="rId14" Type="http://schemas.openxmlformats.org/officeDocument/2006/relationships/hyperlink" Target="https://www.equimedia.co.uk/resources/blog/ten-challenges-programmatic-advertising-and-how-navigate-them" TargetMode="External"/><Relationship Id="rId15" Type="http://schemas.openxmlformats.org/officeDocument/2006/relationships/hyperlink" Target="https://www.outbrain.com/blog/top-5-programmatic-advertising-challenges-and-benefi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