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AI shifts focus to measurable outcomes and process reengineering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era of “AI tourism” is over and 2026 has brought a ruthless recalibration: boards want demonstrable returns or they will kill the pilot. According to the lead analysis on EditorialGE, the conversation has moved from flashy chatbots to “Intelligence Orchestration” , the operational work of rewiring processes so models produce auditable EBIT gains rather than isolated wow moments. </w:t>
      </w:r>
      <w:hyperlink r:id="rId9">
        <w:r>
          <w:rPr>
            <w:color w:val="0000EE"/>
            <w:u w:val="single"/>
          </w:rPr>
          <w:t>[1]</w:t>
        </w:r>
      </w:hyperlink>
      <w:r/>
    </w:p>
    <w:p>
      <w:r/>
      <w:r>
        <w:t xml:space="preserve">That shift is measurable. Industry analysts report a steep rise in production deployments and a reorientation of success metrics from number of pilots to cost savings, time-to-value and direct contribution to revenue. Gartner and Deloitte figures cited in the lead piece underline how quickly enterprises moved from exploration to a results-first posture, with inference costs now dominating compute budgets and CFOs taking a decisive role in AI investment decisions. </w:t>
      </w:r>
      <w:hyperlink r:id="rId9">
        <w:r>
          <w:rPr>
            <w:color w:val="0000EE"/>
            <w:u w:val="single"/>
          </w:rPr>
          <w:t>[1]</w:t>
        </w:r>
      </w:hyperlink>
      <w:r/>
    </w:p>
    <w:p>
      <w:r/>
      <w:r>
        <w:t xml:space="preserve">Central to 2026’s posture is the transition from chat to action: agentic AI that executes multi-step workflows autonomously. This evolution is visible in the market’s pivot from single, general-purpose LLMs toward specialised, smaller models and hybrid architectures that orchestrate which model should serve which request. The EditorialGE analysis frames this as a competitive bifurcation between “AI Natives” who redesign workflows for agents and organisations that merely layer models atop existing, broken processes. </w:t>
      </w:r>
      <w:hyperlink r:id="rId9">
        <w:r>
          <w:rPr>
            <w:color w:val="0000EE"/>
            <w:u w:val="single"/>
          </w:rPr>
          <w:t>[1]</w:t>
        </w:r>
      </w:hyperlink>
      <w:hyperlink r:id="rId10">
        <w:r>
          <w:rPr>
            <w:color w:val="0000EE"/>
            <w:u w:val="single"/>
          </w:rPr>
          <w:t>[4]</w:t>
        </w:r>
      </w:hyperlink>
      <w:r/>
    </w:p>
    <w:p>
      <w:r/>
      <w:r>
        <w:t xml:space="preserve">A parallel commercial model rising to prominence is Outcome as Agentic Solution (OaAS), in which vendors accept accountability for delivered outcomes by deploying task-specific agents on customers’ behalf. According to ITPro’s overview, Gartner forecasts rapid adoption of agentic enterprise apps and predicts that by 2026 a large share of enterprise applications will embed task-specific AI agents. Proponents argue OaAS improves capital efficiency and time-to-value, though it raises thorny questions about governance, data security and contractual accountability. </w:t>
      </w:r>
      <w:hyperlink r:id="rId11">
        <w:r>
          <w:rPr>
            <w:color w:val="0000EE"/>
            <w:u w:val="single"/>
          </w:rPr>
          <w:t>[2]</w:t>
        </w:r>
      </w:hyperlink>
      <w:r/>
    </w:p>
    <w:p>
      <w:r/>
      <w:r>
        <w:t xml:space="preserve">The economics of inference has forced a technical and strategic rethink. Enterprises are increasingly repatriating data and compute, favouring Small Language Models (7B–13B params) for high-volume, domain-specific tasks while reserving hyperscaler models for bursts or complex reasoning. Financial scrutiny is producing FinOps-like disciplines for AI spend; Forbes and DigitalApplied both note that CFO-level rigor and explicit ROI timeframes are reshaping which projects survive and which are deferred. </w:t>
      </w:r>
      <w:hyperlink r:id="rId9">
        <w:r>
          <w:rPr>
            <w:color w:val="0000EE"/>
            <w:u w:val="single"/>
          </w:rPr>
          <w:t>[1]</w:t>
        </w:r>
      </w:hyperlink>
      <w:hyperlink r:id="rId10">
        <w:r>
          <w:rPr>
            <w:color w:val="0000EE"/>
            <w:u w:val="single"/>
          </w:rPr>
          <w:t>[4]</w:t>
        </w:r>
      </w:hyperlink>
      <w:hyperlink r:id="rId12">
        <w:r>
          <w:rPr>
            <w:color w:val="0000EE"/>
            <w:u w:val="single"/>
          </w:rPr>
          <w:t>[5]</w:t>
        </w:r>
      </w:hyperlink>
      <w:r/>
    </w:p>
    <w:p>
      <w:r/>
      <w:r>
        <w:t xml:space="preserve">Governance has evolved from a compliance afterthought into an enabler of velocity. IBM’s report finds 56% of CEOs delaying major generative AI investment until governance clarity improves, and that organisations with mature governance report significantly higher ROI. The most successful firms embed “trust layers” , automated middleware that performs PII redaction, bias detection and copyright filtering in real-time , enabling faster, safer scaling of agentic systems. This institutionalised governance is central to moving from pilots to production at scale. </w:t>
      </w:r>
      <w:hyperlink r:id="rId13">
        <w:r>
          <w:rPr>
            <w:color w:val="0000EE"/>
            <w:u w:val="single"/>
          </w:rPr>
          <w:t>[3]</w:t>
        </w:r>
      </w:hyperlink>
      <w:hyperlink r:id="rId9">
        <w:r>
          <w:rPr>
            <w:color w:val="0000EE"/>
            <w:u w:val="single"/>
          </w:rPr>
          <w:t>[1]</w:t>
        </w:r>
      </w:hyperlink>
      <w:r/>
    </w:p>
    <w:p>
      <w:r/>
      <w:r>
        <w:t xml:space="preserve">That production scaling demands new engineering disciplines. Where prompt engineering sufficed for prototypes, 2026 prizes “flow engineering” and robust evaluation harnesses that stress-test agents thousands of times before they touch production data. Recent academic work on architecting agentic communities and formalised agent coordination provides design patterns and verification techniques that enterprises can adopt to ensure operational, legal and ethical constraints are enforceable at runtime. Such patterns support the emergence of hybrid ecosystems where humans and agents operate under codified protocols. </w:t>
      </w:r>
      <w:hyperlink r:id="rId14">
        <w:r>
          <w:rPr>
            <w:color w:val="0000EE"/>
            <w:u w:val="single"/>
          </w:rPr>
          <w:t>[6]</w:t>
        </w:r>
      </w:hyperlink>
      <w:hyperlink r:id="rId9">
        <w:r>
          <w:rPr>
            <w:color w:val="0000EE"/>
            <w:u w:val="single"/>
          </w:rPr>
          <w:t>[1]</w:t>
        </w:r>
      </w:hyperlink>
      <w:r/>
    </w:p>
    <w:p>
      <w:r/>
      <w:r>
        <w:t xml:space="preserve">Evaluation itself is maturing. A novel set of outcome-based metrics proposed in recent research provides standardised measures such as Goal Completion Rate, Autonomy Index and Business Impact Efficiency that let organisations compare agents by business impact rather than anecdote. Simulations indicate hybrid agent architectures often offer the best trade-offs for ROI and robustness, reinforcing industry moves toward mixed-model gardens and tooling to route requests to the right agent. </w:t>
      </w:r>
      <w:hyperlink r:id="rId15">
        <w:r>
          <w:rPr>
            <w:color w:val="0000EE"/>
            <w:u w:val="single"/>
          </w:rPr>
          <w:t>[7]</w:t>
        </w:r>
      </w:hyperlink>
      <w:hyperlink r:id="rId9">
        <w:r>
          <w:rPr>
            <w:color w:val="0000EE"/>
            <w:u w:val="single"/>
          </w:rPr>
          <w:t>[1]</w:t>
        </w:r>
      </w:hyperlink>
      <w:r/>
    </w:p>
    <w:p>
      <w:r/>
      <w:r>
        <w:t xml:space="preserve">The human dimension remains paradoxical and pivotal. Workflow redesign , not merely automation , is the strongest correlate of AI value capture, according to McKinsey and corroborated by DigitalApplied’s 2025 adoption study. Firms that reengineer processes to let agents adjudicate routine work, reserving humans for exceptions and oversight, unlock outsized productivity gains. At the same time, demand for AI Orchestrators, AI Architects and ModelOps talent is creating a labour market premium for people who can translate business logic into safe, high-value agent behaviour. </w:t>
      </w:r>
      <w:hyperlink r:id="rId9">
        <w:r>
          <w:rPr>
            <w:color w:val="0000EE"/>
            <w:u w:val="single"/>
          </w:rPr>
          <w:t>[1]</w:t>
        </w:r>
      </w:hyperlink>
      <w:hyperlink r:id="rId12">
        <w:r>
          <w:rPr>
            <w:color w:val="0000EE"/>
            <w:u w:val="single"/>
          </w:rPr>
          <w:t>[5]</w:t>
        </w:r>
      </w:hyperlink>
      <w:hyperlink r:id="rId10">
        <w:r>
          <w:rPr>
            <w:color w:val="0000EE"/>
            <w:u w:val="single"/>
          </w:rPr>
          <w:t>[4]</w:t>
        </w:r>
      </w:hyperlink>
      <w:r/>
    </w:p>
    <w:p>
      <w:r/>
      <w:r>
        <w:t xml:space="preserve">Looking ahead, the market points toward consolidation and standardisation. The lead analysis anticipates a “Neocloud” shakeout as hyperscalers assimilate niche GPU providers, and predicts the emergence of standard agent protocols to enable seamless, cross-vendor handoffs. Outcome-based commercial models like OaAS and formal governance and evaluation frameworks are likely to accelerate that convergence, as regulators and customers insist on accountable, verifiable agent behaviour. </w:t>
      </w:r>
      <w:hyperlink r:id="rId9">
        <w:r>
          <w:rPr>
            <w:color w:val="0000EE"/>
            <w:u w:val="single"/>
          </w:rPr>
          <w:t>[1]</w:t>
        </w:r>
      </w:hyperlink>
      <w:hyperlink r:id="rId11">
        <w:r>
          <w:rPr>
            <w:color w:val="0000EE"/>
            <w:u w:val="single"/>
          </w:rPr>
          <w:t>[2]</w:t>
        </w:r>
      </w:hyperlink>
      <w:hyperlink r:id="rId14">
        <w:r>
          <w:rPr>
            <w:color w:val="0000EE"/>
            <w:u w:val="single"/>
          </w:rPr>
          <w:t>[6]</w:t>
        </w:r>
      </w:hyperlink>
      <w:r/>
    </w:p>
    <w:p>
      <w:r/>
      <w:r>
        <w:t xml:space="preserve">For practitioners the prescription is simple and stark: stop politicking over technology showpieces and start rewiring processes, embedding governance, and instrumenting agent performance against business metrics. Firms that treat data as an active organisational memory and adopt outcome-oriented agent designs will define the winners of this ROI era; those that do not will find pilots quietly terminated as budgets reallocate to initiatives with clear, measurable impact. As one investor-ready summary put it, “Show me the money.” </w:t>
      </w:r>
      <w:hyperlink r:id="rId9">
        <w:r>
          <w:rPr>
            <w:color w:val="0000EE"/>
            <w:u w:val="single"/>
          </w:rPr>
          <w:t>[1]</w:t>
        </w:r>
      </w:hyperlink>
      <w:hyperlink r:id="rId13">
        <w:r>
          <w:rPr>
            <w:color w:val="0000EE"/>
            <w:u w:val="single"/>
          </w:rPr>
          <w:t>[3]</w:t>
        </w:r>
      </w:hyperlink>
      <w:hyperlink r:id="rId11">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(EditorialGE) - Paragraph 1, Paragraph 2, Paragraph 3, Paragraph 6, Paragraph 7, Paragraph 9, Paragraph 10, Paragraph 11 </w:t>
      </w:r>
      <w:r/>
    </w:p>
    <w:p>
      <w:pPr>
        <w:pStyle w:val="ListBullet"/>
        <w:spacing w:line="240" w:lineRule="auto"/>
        <w:ind w:left="720"/>
      </w:pPr>
      <w:r/>
      <w:hyperlink r:id="rId11">
        <w:r>
          <w:rPr>
            <w:color w:val="0000EE"/>
            <w:u w:val="single"/>
          </w:rPr>
          <w:t>[2]</w:t>
        </w:r>
      </w:hyperlink>
      <w:r>
        <w:t xml:space="preserve"> (ITPro) - Paragraph 4, Paragraph 11 </w:t>
      </w:r>
      <w:r/>
    </w:p>
    <w:p>
      <w:pPr>
        <w:pStyle w:val="ListBullet"/>
        <w:spacing w:line="240" w:lineRule="auto"/>
        <w:ind w:left="720"/>
      </w:pPr>
      <w:r/>
      <w:hyperlink r:id="rId13">
        <w:r>
          <w:rPr>
            <w:color w:val="0000EE"/>
            <w:u w:val="single"/>
          </w:rPr>
          <w:t>[3]</w:t>
        </w:r>
      </w:hyperlink>
      <w:r>
        <w:t xml:space="preserve"> (IBM report) - Paragraph 6, Paragraph 11 </w:t>
      </w:r>
      <w:r/>
    </w:p>
    <w:p>
      <w:pPr>
        <w:pStyle w:val="ListBullet"/>
        <w:spacing w:line="240" w:lineRule="auto"/>
        <w:ind w:left="720"/>
      </w:pPr>
      <w:r/>
      <w:hyperlink r:id="rId10">
        <w:r>
          <w:rPr>
            <w:color w:val="0000EE"/>
            <w:u w:val="single"/>
          </w:rPr>
          <w:t>[4]</w:t>
        </w:r>
      </w:hyperlink>
      <w:r>
        <w:t xml:space="preserve"> (Forbes) - Paragraph 3, Paragraph 5, Paragraph 9 </w:t>
      </w:r>
      <w:r/>
    </w:p>
    <w:p>
      <w:pPr>
        <w:pStyle w:val="ListBullet"/>
        <w:spacing w:line="240" w:lineRule="auto"/>
        <w:ind w:left="720"/>
      </w:pPr>
      <w:r/>
      <w:hyperlink r:id="rId12">
        <w:r>
          <w:rPr>
            <w:color w:val="0000EE"/>
            <w:u w:val="single"/>
          </w:rPr>
          <w:t>[5]</w:t>
        </w:r>
      </w:hyperlink>
      <w:r>
        <w:t xml:space="preserve"> (DigitalApplied) - Paragraph 5, Paragraph 9 </w:t>
      </w:r>
      <w:r/>
    </w:p>
    <w:p>
      <w:pPr>
        <w:pStyle w:val="ListBullet"/>
        <w:spacing w:line="240" w:lineRule="auto"/>
        <w:ind w:left="720"/>
      </w:pPr>
      <w:r/>
      <w:hyperlink r:id="rId14">
        <w:r>
          <w:rPr>
            <w:color w:val="0000EE"/>
            <w:u w:val="single"/>
          </w:rPr>
          <w:t>[6]</w:t>
        </w:r>
      </w:hyperlink>
      <w:r>
        <w:t xml:space="preserve"> (arXiv 2601.03624) - Paragraph 7, Paragraph 10 </w:t>
      </w:r>
      <w:r/>
    </w:p>
    <w:p>
      <w:pPr>
        <w:pStyle w:val="ListBullet"/>
        <w:spacing w:line="240" w:lineRule="auto"/>
        <w:ind w:left="720"/>
      </w:pPr>
      <w:r/>
      <w:hyperlink r:id="rId15">
        <w:r>
          <w:rPr>
            <w:color w:val="0000EE"/>
            <w:u w:val="single"/>
          </w:rPr>
          <w:t>[7]</w:t>
        </w:r>
      </w:hyperlink>
      <w:r>
        <w:t xml:space="preserve"> (arXiv 2511.08242)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https://editorialge.com/enterprise-ai-roi/</w:t>
        </w:r>
      </w:hyperlink>
      <w:r>
        <w:t xml:space="preserve"> - Please view link - unable to able to access data</w:t>
      </w:r>
      <w:r/>
    </w:p>
    <w:p>
      <w:pPr>
        <w:pStyle w:val="ListNumber"/>
        <w:spacing w:line="240" w:lineRule="auto"/>
        <w:ind w:left="720"/>
      </w:pPr>
      <w:r/>
      <w:hyperlink r:id="rId11">
        <w:r>
          <w:rPr>
            <w:color w:val="0000EE"/>
            <w:u w:val="single"/>
          </w:rPr>
          <w:t>https://www.itpro.com/technology/artificial-intelligence/what-is-outcome-as-agentic-solution-oaas</w:t>
        </w:r>
      </w:hyperlink>
      <w:r>
        <w:t xml:space="preserve"> - This article introduces Outcome as Agentic Solution (OaAS), an emerging enterprise software model that transforms traditional Software-as-a-Service (SaaS) by shifting focus from tool access to outcome-based delivery. In this model, AI agents autonomously perform tasks for customers, making the vendor accountable for delivering specific results rather than simply providing the tools for users to achieve their own outcomes. Gartner predicts a major rise in AI-driven enterprise apps and OaAS adoption, forecasting 40% of enterprise applications will include task-specific AI agents by 2026. Key benefits of OaAS include improved capital efficiency, minimized operational risk, enhanced customer/employee experience, and faster time-to-value. High-complexity sectors such as healthcare, logistics, and financial services are expected to benefit most, though smaller, cloud-native firms may also see agile deployment advantages. However, challenges persist, including issues around governance, data security, and accountability. Enterprises are urged to define their agentic AI strategies within the next six months to stay competitive, as early adopters are likely to gain a significant market advantage through innovation, efficiency, and talent attraction.</w:t>
      </w:r>
      <w:r/>
    </w:p>
    <w:p>
      <w:pPr>
        <w:pStyle w:val="ListNumber"/>
        <w:spacing w:line="240" w:lineRule="auto"/>
        <w:ind w:left="720"/>
      </w:pPr>
      <w:r/>
      <w:hyperlink r:id="rId13">
        <w:r>
          <w:rPr>
            <w:color w:val="0000EE"/>
            <w:u w:val="single"/>
          </w:rPr>
          <w:t>https://www.ibm.com/downloads/documents/us-en/1443d5f5af4f532a</w:t>
        </w:r>
      </w:hyperlink>
      <w:r>
        <w:t xml:space="preserve"> - This IBM report discusses the importance of governance in the successful implementation of agentic AI systems. It highlights that 56% of CEOs are delaying major investments in generative AI until they have clarity on governance standards, reflecting growing awareness that without oversight, AI can introduce risk faster than it can deliver returns. The report emphasizes that robust governance is a key differentiator between hype and value, and that 68% of AI-first organizations, those achieving the highest ROI, report having mature governance frameworks, compared to just 32% of other organizations. The report also discusses the importance of orchestration in moving from isolated instances of AI use and automation to cohesive, scalable systems that realize returns, and notes that 83% of executives surveyed expect their process re-engineering and workflow reinvention efforts to be more effective because of AI agents.</w:t>
      </w:r>
      <w:r/>
    </w:p>
    <w:p>
      <w:pPr>
        <w:pStyle w:val="ListNumber"/>
        <w:spacing w:line="240" w:lineRule="auto"/>
        <w:ind w:left="720"/>
      </w:pPr>
      <w:r/>
      <w:hyperlink r:id="rId10">
        <w:r>
          <w:rPr>
            <w:color w:val="0000EE"/>
            <w:u w:val="single"/>
          </w:rPr>
          <w:t>https://www.forbes.com/councils/forbestechcouncil/2025/12/16/three-shifts-redefining-enterprise-ai-in-2026/</w:t>
        </w:r>
      </w:hyperlink>
      <w:r>
        <w:t xml:space="preserve"> - This Forbes article discusses three key shifts redefining enterprise AI in 2026. The first shift is the move from broad, generic AI agents to more focused, domain-specific solutions, as enterprises seek precision over scale in agentic AI. The second shift is the increased scrutiny of AI budgets, with leaders applying the same rigor to AI investments as they would to any capital expense, leading to a surge of interest in AI-focused FinOps. The third shift is the evolution of roles in the AI-driven enterprise, with a focus on attracting and developing talent who can guide intelligent systems in real-world business environments, fine-tune small language models for specific vertical use cases, and ensure every AI output aligns with business objectives.</w:t>
      </w:r>
      <w:r/>
    </w:p>
    <w:p>
      <w:pPr>
        <w:pStyle w:val="ListNumber"/>
        <w:spacing w:line="240" w:lineRule="auto"/>
        <w:ind w:left="720"/>
      </w:pPr>
      <w:r/>
      <w:hyperlink r:id="rId12">
        <w:r>
          <w:rPr>
            <w:color w:val="0000EE"/>
            <w:u w:val="single"/>
          </w:rPr>
          <w:t>https://www.digitalapplied.com/blog/enterprise-ai-adoption-strategy-2025</w:t>
        </w:r>
      </w:hyperlink>
      <w:r>
        <w:t xml:space="preserve"> - This article provides an overview of enterprise AI adoption strategies as of 2025. It highlights that enterprise generative AI spending surged to $37 billion in 2025, with companies reporting 171% average ROI and 78% of large enterprises now implementing AI solutions. However, it also notes that 70-95% of AI pilots fail without proper frameworks. The article discusses the rapid emergence of agentic AI, with 23% of organizations now scaling agentic AI systems and 39% experimenting, marking a shift from passive AI tools to autonomous agents. Early adopters report up to 40% operational cost reduction and 192% ROI projections. The article also emphasizes the importance of governance, noting that 61% of organizations are at strategic or embedded responsible AI stages, and that governance frameworks like NIST AI RMF, ISO 42001, and EU AI Act compliance are essential. Additionally, 26% of enterprises now have Chief AI Officers, reporting 10% higher ROI.</w:t>
      </w:r>
      <w:r/>
    </w:p>
    <w:p>
      <w:pPr>
        <w:pStyle w:val="ListNumber"/>
        <w:spacing w:line="240" w:lineRule="auto"/>
        <w:ind w:left="720"/>
      </w:pPr>
      <w:r/>
      <w:hyperlink r:id="rId14">
        <w:r>
          <w:rPr>
            <w:color w:val="0000EE"/>
            <w:u w:val="single"/>
          </w:rPr>
          <w:t>https://arxiv.org/abs/2601.03624</w:t>
        </w:r>
      </w:hyperlink>
      <w:r>
        <w:t xml:space="preserve"> - This academic paper presents an approach for architecting agentic communities using design patterns derived from enterprise distributed systems standards, formal methods, and industry practice. The authors classify these patterns into three tiers: LLM Agents (task-specific automation), Agentic AI (adaptive goal-seekers), and Agentic Communities (organizational frameworks where AI agents and human participants coordinate through formal roles, protocols, and governance structures). The paper focuses on Agentic Communities, which encompass LLM Agents, Agentic AI entities, and humans, and are most relevant for enterprise and industrial applications. Drawing on established coordination principles from distributed systems, the authors ground these patterns in a formal framework that specifies collaboration agreements where AI agents and humans fill roles within governed ecosystems. This approach provides both practical guidance and formal verification capabilities, enabling expression of organizational, legal, and ethical rules through accountability mechanisms that ensure operational and verifiable governance of inter-agent communication, negotiation, and intent modeling. The framework is validated through a clinical trial matching case study.</w:t>
      </w:r>
      <w:r/>
    </w:p>
    <w:p>
      <w:pPr>
        <w:pStyle w:val="ListNumber"/>
        <w:spacing w:line="240" w:lineRule="auto"/>
        <w:ind w:left="720"/>
      </w:pPr>
      <w:r/>
      <w:hyperlink r:id="rId15">
        <w:r>
          <w:rPr>
            <w:color w:val="0000EE"/>
            <w:u w:val="single"/>
          </w:rPr>
          <w:t>https://arxiv.org/abs/2511.08242</w:t>
        </w:r>
      </w:hyperlink>
      <w:r>
        <w:t xml:space="preserve"> - This academic paper proposes a novel, comprehensive framework of eleven outcome-based, task-agnostic performance metrics for AI agents that transcend domain boundaries. These metrics are designed to enable organizations to evaluate agents based on the quality of their decisions, their degree of autonomy, their adaptability to new challenges, and the tangible business value they deliver, regardless of the underlying model architecture or specific use case. The authors introduce metrics such as Goal Completion Rate (GCR), Autonomy Index (AIx), Multi-Step Task Resilience (MTR), and Business Impact Efficiency (BIE). Through a large-scale simulated experiment involving four distinct agent architectures (ReAct, Chain-of-Thought, Tool-Augmented, Hybrid) across five diverse domains (Healthcare, Finance, Marketing, Legal, and Customer Service), the authors demonstrate the framework's efficacy. The results reveal significant performance trade-offs between different agent designs, highlighting the Hybrid Agent as the most consistently high-performing model across the majority of the proposed metrics, achieving an average Goal Completion Rate of 88.8% and the highest Return on Investment (ROI). This work provides a robust, standardized methodology for the holistic evaluation of AI agents, paving the way for more effective development, deployment, and governance.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torialge.com/enterprise-ai-roi/" TargetMode="External"/><Relationship Id="rId10" Type="http://schemas.openxmlformats.org/officeDocument/2006/relationships/hyperlink" Target="https://www.forbes.com/councils/forbestechcouncil/2025/12/16/three-shifts-redefining-enterprise-ai-in-2026/" TargetMode="External"/><Relationship Id="rId11" Type="http://schemas.openxmlformats.org/officeDocument/2006/relationships/hyperlink" Target="https://www.itpro.com/technology/artificial-intelligence/what-is-outcome-as-agentic-solution-oaas" TargetMode="External"/><Relationship Id="rId12" Type="http://schemas.openxmlformats.org/officeDocument/2006/relationships/hyperlink" Target="https://www.digitalapplied.com/blog/enterprise-ai-adoption-strategy-2025" TargetMode="External"/><Relationship Id="rId13" Type="http://schemas.openxmlformats.org/officeDocument/2006/relationships/hyperlink" Target="https://www.ibm.com/downloads/documents/us-en/1443d5f5af4f532a" TargetMode="External"/><Relationship Id="rId14" Type="http://schemas.openxmlformats.org/officeDocument/2006/relationships/hyperlink" Target="https://arxiv.org/abs/2601.03624" TargetMode="External"/><Relationship Id="rId15" Type="http://schemas.openxmlformats.org/officeDocument/2006/relationships/hyperlink" Target="https://arxiv.org/abs/2511.0824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