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EU’s chat control proposals may extend into robot interactions, raising privacy and security concerns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European efforts to curb online child sexual abuse are colliding with an unexpected frontier: robots that listen, speak and move among people. A new academic study by Neziha Akalin and Alberto Giaretta warns that the European Union’s evolving Chat Control proposals, intended to detect child sexual abuse material, could extend surveillance obligations into embodied human–robot interactions, with deep privacy, security and trust consequences. </w:t>
      </w:r>
      <w:hyperlink r:id="rId9">
        <w:r>
          <w:rPr>
            <w:color w:val="0000EE"/>
            <w:u w:val="single"/>
          </w:rPr>
          <w:t>[1]</w:t>
        </w:r>
      </w:hyperlink>
      <w:hyperlink r:id="rId9">
        <w:r>
          <w:rPr>
            <w:color w:val="0000EE"/>
            <w:u w:val="single"/>
          </w:rPr>
          <w:t>[2]</w:t>
        </w:r>
      </w:hyperlink>
      <w:r/>
    </w:p>
    <w:p>
      <w:r/>
      <w:r>
        <w:t xml:space="preserve">The Chat Control framework began as a push to require platforms to scan messages , including encrypted content , for child sexual abuse material. After intense criticism, the Council removed explicit scanning mandates in late 2025 and reframed obligations around risk assessments and mitigation duties. According to reporting and parliamentary questions, critics say that change preserves powerful incentives to monitor because providers must still identify and reduce residual risk. </w:t>
      </w:r>
      <w:hyperlink r:id="rId9">
        <w:r>
          <w:rPr>
            <w:color w:val="0000EE"/>
            <w:u w:val="single"/>
          </w:rPr>
          <w:t>[1]</w:t>
        </w:r>
      </w:hyperlink>
      <w:hyperlink r:id="rId10">
        <w:r>
          <w:rPr>
            <w:color w:val="0000EE"/>
            <w:u w:val="single"/>
          </w:rPr>
          <w:t>[5]</w:t>
        </w:r>
      </w:hyperlink>
      <w:hyperlink r:id="rId11">
        <w:r>
          <w:rPr>
            <w:color w:val="0000EE"/>
            <w:u w:val="single"/>
          </w:rPr>
          <w:t>[6]</w:t>
        </w:r>
      </w:hyperlink>
      <w:r/>
    </w:p>
    <w:p>
      <w:r/>
      <w:r>
        <w:t xml:space="preserve">Akalin and Giaretta argue that the legal definition of interpersonal communication services is broad enough to capture social, care and telepresence robots that mediate exchanges of voice, video, gestures and other contextual signals between people. Once a robot is treated as a communication service, the paper warns, manufacturers and service providers could face ongoing duties to assess risk and deploy detection mechanisms inside the robots themselves, shifting monitoring from servers and apps into homes, hospitals and classrooms. </w:t>
      </w:r>
      <w:hyperlink r:id="rId9">
        <w:r>
          <w:rPr>
            <w:color w:val="0000EE"/>
            <w:u w:val="single"/>
          </w:rPr>
          <w:t>[1]</w:t>
        </w:r>
      </w:hyperlink>
      <w:hyperlink r:id="rId9">
        <w:r>
          <w:rPr>
            <w:color w:val="0000EE"/>
            <w:u w:val="single"/>
          </w:rPr>
          <w:t>[2]</w:t>
        </w:r>
      </w:hyperlink>
      <w:r/>
    </w:p>
    <w:p>
      <w:r/>
      <w:r>
        <w:t xml:space="preserve">That migration of surveillance from screens to bodies and rooms changes the cybersecurity threat model. The researchers describe how microphones, cameras, behaviour logs and embedded AI models become permanent components of robot architecture that feed detection pipelines. Each new pipeline increases the attack surface: firmware, remote management interfaces, cloud storage and machine‑learning models all create more points where keys, credentials or models can be leaked or manipulated. </w:t>
      </w:r>
      <w:hyperlink r:id="rId9">
        <w:r>
          <w:rPr>
            <w:color w:val="0000EE"/>
            <w:u w:val="single"/>
          </w:rPr>
          <w:t>[1]</w:t>
        </w:r>
      </w:hyperlink>
      <w:r/>
    </w:p>
    <w:p>
      <w:r/>
      <w:r>
        <w:t xml:space="preserve">The study details sophisticated inference attacks that become more damaging when surveillance data originates in intimate, embodied settings. Model inversion and membership inference attacks could reconstruct sensitive details from training or telemetry data; robots that record routines, health indicators or classroom interactions amplify the potential harm of any breach. The authors note that decentralised techniques such as federated learning may reduce central aggregation but introduce fresh classes of attack and do not eliminate structural risks. </w:t>
      </w:r>
      <w:hyperlink r:id="rId9">
        <w:r>
          <w:rPr>
            <w:color w:val="0000EE"/>
            <w:u w:val="single"/>
          </w:rPr>
          <w:t>[1]</w:t>
        </w:r>
      </w:hyperlink>
      <w:r/>
    </w:p>
    <w:p>
      <w:r/>
      <w:r>
        <w:t xml:space="preserve">Beyond data exposure, the paper raises the prospect of control backdoors that reach into physical systems. Regulatory pressure to normalise monitoring and remote diagnostics may provide commercial justification for persistent remote access, and hardcoded keys or weak update mechanisms already found in some platforms illustrate the danger. Compromise of a robot’s control channels, the authors warn, can enable attackers to issue commands or alter decision logic with direct physical safety implications. </w:t>
      </w:r>
      <w:hyperlink r:id="rId9">
        <w:r>
          <w:rPr>
            <w:color w:val="0000EE"/>
            <w:u w:val="single"/>
          </w:rPr>
          <w:t>[1]</w:t>
        </w:r>
      </w:hyperlink>
      <w:r/>
    </w:p>
    <w:p>
      <w:r/>
      <w:r>
        <w:t xml:space="preserve">The broader political context underscores the debate’s intensity. Several EU member states and digital‑rights experts have publicly opposed mandatory scanning, with Germany explicitly rejecting mass surveillance of private messages on constitutional grounds and other countries revising or withdrawing earlier proposals. Nevertheless, observers warn that making voluntary scanning and coercive risk‑mitigation duties permanent in law risks creating de‑facto surveillance regimes that erode end‑to‑end encryption and user privacy. </w:t>
      </w:r>
      <w:hyperlink r:id="rId12">
        <w:r>
          <w:rPr>
            <w:color w:val="0000EE"/>
            <w:u w:val="single"/>
          </w:rPr>
          <w:t>[3]</w:t>
        </w:r>
      </w:hyperlink>
      <w:hyperlink r:id="rId13">
        <w:r>
          <w:rPr>
            <w:color w:val="0000EE"/>
            <w:u w:val="single"/>
          </w:rPr>
          <w:t>[4]</w:t>
        </w:r>
      </w:hyperlink>
      <w:hyperlink r:id="rId11">
        <w:r>
          <w:rPr>
            <w:color w:val="0000EE"/>
            <w:u w:val="single"/>
          </w:rPr>
          <w:t>[6]</w:t>
        </w:r>
      </w:hyperlink>
      <w:hyperlink r:id="rId14">
        <w:r>
          <w:rPr>
            <w:color w:val="0000EE"/>
            <w:u w:val="single"/>
          </w:rPr>
          <w:t>[7]</w:t>
        </w:r>
      </w:hyperlink>
      <w:r/>
    </w:p>
    <w:p>
      <w:r/>
      <w:r>
        <w:t xml:space="preserve">Akalin and Giaretta conclude that law and policy should push for transparency, on‑device processing where feasible, and robust oversight to protect privacy and preserve trust in human–robot interaction. The study calls for targeted regulatory limits to avoid embedding surveillance into technologies designed for care, education and companionship, arguing that safety achieved by pervasive monitoring can become "safety through insecurity" when it amplifies attackers’ avenues and corrodes the trust that underpins everyday interactions with robots.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(Help Net Security) - Paragraph 1, Paragraph 2, Paragraph 3, Paragraph 4, Paragraph 5, Paragraph 6, Paragraph 8</w:t>
      </w:r>
      <w:r/>
    </w:p>
    <w:p>
      <w:pPr>
        <w:pStyle w:val="ListBullet"/>
        <w:spacing w:line="240" w:lineRule="auto"/>
        <w:ind w:left="720"/>
      </w:pPr>
      <w:r/>
      <w:hyperlink r:id="rId9">
        <w:r>
          <w:rPr>
            <w:color w:val="0000EE"/>
            <w:u w:val="single"/>
          </w:rPr>
          <w:t>[2]</w:t>
        </w:r>
      </w:hyperlink>
      <w:r>
        <w:t xml:space="preserve"> (Help Net Security summary) - Paragraph 1, Paragraph 3, Paragraph 8</w:t>
      </w:r>
      <w:r/>
    </w:p>
    <w:p>
      <w:pPr>
        <w:pStyle w:val="ListBullet"/>
        <w:spacing w:line="240" w:lineRule="auto"/>
        <w:ind w:left="720"/>
      </w:pPr>
      <w:r/>
      <w:hyperlink r:id="rId12">
        <w:r>
          <w:rPr>
            <w:color w:val="0000EE"/>
            <w:u w:val="single"/>
          </w:rPr>
          <w:t>[3]</w:t>
        </w:r>
      </w:hyperlink>
      <w:r>
        <w:t xml:space="preserve"> (TechRadar) - Paragraph 7</w:t>
      </w:r>
      <w:r/>
    </w:p>
    <w:p>
      <w:pPr>
        <w:pStyle w:val="ListBullet"/>
        <w:spacing w:line="240" w:lineRule="auto"/>
        <w:ind w:left="720"/>
      </w:pPr>
      <w:r/>
      <w:hyperlink r:id="rId13">
        <w:r>
          <w:rPr>
            <w:color w:val="0000EE"/>
            <w:u w:val="single"/>
          </w:rPr>
          <w:t>[4]</w:t>
        </w:r>
      </w:hyperlink>
      <w:r>
        <w:t xml:space="preserve"> (TechRadar) - Paragraph 7</w:t>
      </w:r>
      <w:r/>
    </w:p>
    <w:p>
      <w:pPr>
        <w:pStyle w:val="ListBullet"/>
        <w:spacing w:line="240" w:lineRule="auto"/>
        <w:ind w:left="720"/>
      </w:pPr>
      <w:r/>
      <w:hyperlink r:id="rId10">
        <w:r>
          <w:rPr>
            <w:color w:val="0000EE"/>
            <w:u w:val="single"/>
          </w:rPr>
          <w:t>[5]</w:t>
        </w:r>
      </w:hyperlink>
      <w:r>
        <w:t xml:space="preserve"> (European Parliament document) - Paragraph 2</w:t>
      </w:r>
      <w:r/>
    </w:p>
    <w:p>
      <w:pPr>
        <w:pStyle w:val="ListBullet"/>
        <w:spacing w:line="240" w:lineRule="auto"/>
        <w:ind w:left="720"/>
      </w:pPr>
      <w:r/>
      <w:hyperlink r:id="rId11">
        <w:r>
          <w:rPr>
            <w:color w:val="0000EE"/>
            <w:u w:val="single"/>
          </w:rPr>
          <w:t>[6]</w:t>
        </w:r>
      </w:hyperlink>
      <w:r>
        <w:t xml:space="preserve"> (EU Perspectives) - Paragraph 2, Paragraph 7</w:t>
      </w:r>
      <w:r/>
    </w:p>
    <w:p>
      <w:pPr>
        <w:pStyle w:val="ListBullet"/>
        <w:spacing w:line="240" w:lineRule="auto"/>
        <w:ind w:left="720"/>
      </w:pPr>
      <w:r/>
      <w:hyperlink r:id="rId14">
        <w:r>
          <w:rPr>
            <w:color w:val="0000EE"/>
            <w:u w:val="single"/>
          </w:rPr>
          <w:t>[7]</w:t>
        </w:r>
      </w:hyperlink>
      <w:r>
        <w:t xml:space="preserve"> (Brave New Coin)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https://www.helpnetsecurity.com/2026/01/12/eu-chat-control-robots-surveillance/</w:t>
        </w:r>
      </w:hyperlink>
      <w:r>
        <w:t xml:space="preserve"> - Please view link - unable to able to access data</w:t>
      </w:r>
      <w:r/>
    </w:p>
    <w:p>
      <w:pPr>
        <w:pStyle w:val="ListNumber"/>
        <w:spacing w:line="240" w:lineRule="auto"/>
        <w:ind w:left="720"/>
      </w:pPr>
      <w:r/>
      <w:hyperlink r:id="rId9">
        <w:r>
          <w:rPr>
            <w:color w:val="0000EE"/>
            <w:u w:val="single"/>
          </w:rPr>
          <w:t>https://www.helpnetsecurity.com/2026/01/12/eu-chat-control-robots-surveillance/</w:t>
        </w:r>
      </w:hyperlink>
      <w:r>
        <w:t xml:space="preserve"> - An academic study by Neziha Akalin and Alberto Giaretta examines the European Union's proposed Chat Control regulation and its unintended impact on human-robot interaction. The study argues that the regulation, which aims to combat online child sexual abuse, could lead to government monitoring inside robots, thereby compromising user privacy and trust. The authors highlight the risks of embedding surveillance mechanisms within robots, emphasizing the potential for increased exposure to cyberattacks and the erosion of user autonomy.</w:t>
      </w:r>
      <w:r/>
    </w:p>
    <w:p>
      <w:pPr>
        <w:pStyle w:val="ListNumber"/>
        <w:spacing w:line="240" w:lineRule="auto"/>
        <w:ind w:left="720"/>
      </w:pPr>
      <w:r/>
      <w:hyperlink r:id="rId12">
        <w:r>
          <w:rPr>
            <w:color w:val="0000EE"/>
            <w:u w:val="single"/>
          </w:rPr>
          <w:t>https://www.techradar.com/computing/cyber-security/its-official-germany-will-not-agree-to-chat-control-heres-everything-we-know</w:t>
        </w:r>
      </w:hyperlink>
      <w:r>
        <w:t xml:space="preserve"> - Germany has officially declared its opposition to the EU's proposed Child Sexual Abuse Regulation (CSAR), commonly referred to as 'Chat Control'. The proposal aims to mandate all messaging platforms across Europe to scan users’ communications, including URLs, images, and videos, to detect child sexual abuse material (CSAM). German Federal Justice Minister Stefanie Hubig stated that mass surveillance of private messages is incompatible with constitutional principles, affirming Germany’s refusal to support the regulation at the EU level.</w:t>
      </w:r>
      <w:r/>
    </w:p>
    <w:p>
      <w:pPr>
        <w:pStyle w:val="ListNumber"/>
        <w:spacing w:line="240" w:lineRule="auto"/>
        <w:ind w:left="720"/>
      </w:pPr>
      <w:r/>
      <w:hyperlink r:id="rId13">
        <w:r>
          <w:rPr>
            <w:color w:val="0000EE"/>
            <w:u w:val="single"/>
          </w:rPr>
          <w:t>https://www.techradar.com/vpn/vpn-privacy-security/chat-control-isnt-dead-denmark-has-a-new-proposal-heres-all-we-know</w:t>
        </w:r>
      </w:hyperlink>
      <w:r>
        <w:t xml:space="preserve"> - Denmark has withdrawn its controversial proposal to enforce mandatory chat monitoring across all messaging platforms in the EU, previously a part of the Child Sexual Abuse Regulation (CSAR). Known as 'Chat Control', the proposal required services like Signal and WhatsApp to scan all user content, including encrypted messages, for child sexual abuse material (CSAM). Due to opposition and concerns about privacy and technological feasibility, Denmark has now introduced a revised plan that makes CSAM scanning voluntary rather than mandatory.</w:t>
      </w:r>
      <w:r/>
    </w:p>
    <w:p>
      <w:pPr>
        <w:pStyle w:val="ListNumber"/>
        <w:spacing w:line="240" w:lineRule="auto"/>
        <w:ind w:left="720"/>
      </w:pPr>
      <w:r/>
      <w:hyperlink r:id="rId10">
        <w:r>
          <w:rPr>
            <w:color w:val="0000EE"/>
            <w:u w:val="single"/>
          </w:rPr>
          <w:t>https://www.europarl.europa.eu/doceo/document/E-10-2025-003250_EN.html</w:t>
        </w:r>
      </w:hyperlink>
      <w:r>
        <w:t xml:space="preserve"> - A parliamentary question raised concerns about the proposed Chat Control law, highlighting its potential to undermine data security and privacy rights. The proposal envisages mass scanning of private communications, including encrypted conversations, which could violate Article 7 of the Charter of Fundamental Rights. The question seeks clarification on the regulation's compatibility with fundamental rights and its impact on cybersecurity and economic competitiveness.</w:t>
      </w:r>
      <w:r/>
    </w:p>
    <w:p>
      <w:pPr>
        <w:pStyle w:val="ListNumber"/>
        <w:spacing w:line="240" w:lineRule="auto"/>
        <w:ind w:left="720"/>
      </w:pPr>
      <w:r/>
      <w:hyperlink r:id="rId11">
        <w:r>
          <w:rPr>
            <w:color w:val="0000EE"/>
            <w:u w:val="single"/>
          </w:rPr>
          <w:t>https://euperspectives.eu/2025/12/breyer-warns-chat-control-decision-moves-into-2026/</w:t>
        </w:r>
      </w:hyperlink>
      <w:r>
        <w:t xml:space="preserve"> - Digital rights expert Patrick Breyer warns that the decision on the EU's Chat Control regulation is moving into 2026. Despite the Council's decision to drop explicit mandatory scanning orders, Breyer remains concerned about the implications for end-to-end encryption. He argues that the Council's approach puts encryption at risk by maintaining 'voluntary' scanning as a permanent measure and enforcing coercive 'risk mitigation' obligations, potentially leading to mass surveillance without formally mandating it.</w:t>
      </w:r>
      <w:r/>
    </w:p>
    <w:p>
      <w:pPr>
        <w:pStyle w:val="ListNumber"/>
        <w:spacing w:line="240" w:lineRule="auto"/>
        <w:ind w:left="720"/>
      </w:pPr>
      <w:r/>
      <w:hyperlink r:id="rId14">
        <w:r>
          <w:rPr>
            <w:color w:val="0000EE"/>
            <w:u w:val="single"/>
          </w:rPr>
          <w:t>https://bravenewcoin.com/insights/eus-chat-control-moves-forward-despite-privacy-concerns-what-450-million-europeans-need-to-know</w:t>
        </w:r>
      </w:hyperlink>
      <w:r>
        <w:t xml:space="preserve"> - The EU's Chat Control regulation, aimed at combating online child sexual abuse, has faced fierce opposition from technology experts, privacy advocates, and several EU member states. The original plan sought to mandate online platforms to detect and report child sexual abuse material (CSAM). However, the revised agreement makes voluntary scanning permanent under EU law, raising concerns about its effectiveness and potential impact on privacy and digital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pnetsecurity.com/2026/01/12/eu-chat-control-robots-surveillance/" TargetMode="External"/><Relationship Id="rId10" Type="http://schemas.openxmlformats.org/officeDocument/2006/relationships/hyperlink" Target="https://www.europarl.europa.eu/doceo/document/E-10-2025-003250_EN.html" TargetMode="External"/><Relationship Id="rId11" Type="http://schemas.openxmlformats.org/officeDocument/2006/relationships/hyperlink" Target="https://euperspectives.eu/2025/12/breyer-warns-chat-control-decision-moves-into-2026/" TargetMode="External"/><Relationship Id="rId12" Type="http://schemas.openxmlformats.org/officeDocument/2006/relationships/hyperlink" Target="https://www.techradar.com/computing/cyber-security/its-official-germany-will-not-agree-to-chat-control-heres-everything-we-know" TargetMode="External"/><Relationship Id="rId13" Type="http://schemas.openxmlformats.org/officeDocument/2006/relationships/hyperlink" Target="https://www.techradar.com/vpn/vpn-privacy-security/chat-control-isnt-dead-denmark-has-a-new-proposal-heres-all-we-know" TargetMode="External"/><Relationship Id="rId14" Type="http://schemas.openxmlformats.org/officeDocument/2006/relationships/hyperlink" Target="https://bravenewcoin.com/insights/eus-chat-control-moves-forward-despite-privacy-concerns-what-450-million-europeans-need-to-know"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