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Parliament advances safeguards for creators amid AI copyright tensions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Members of the European Parliament’s Legal Affairs Committee have endorsed a report pressing for stronger safeguards for creators as generative artificial intelligence becomes more pervasive, approving the measure by a large majority ahead of a plenary vote in March 2026. According to the European Parliament, the committee wants EU copyright rules to bind all generative AI systems offered on the EU market, irrespective of where those systems were developed. (Paragraph 1) - Sources: </w:t>
      </w:r>
      <w:hyperlink r:id="rId9">
        <w:r>
          <w:rPr>
            <w:color w:val="0000EE"/>
            <w:u w:val="single"/>
          </w:rPr>
          <w:t>[2]</w:t>
        </w:r>
      </w:hyperlink>
      <w:r>
        <w:t>,</w:t>
      </w:r>
      <w:hyperlink r:id="rId10">
        <w:r>
          <w:rPr>
            <w:color w:val="0000EE"/>
            <w:u w:val="single"/>
          </w:rPr>
          <w:t>[4]</w:t>
        </w:r>
      </w:hyperlink>
      <w:r/>
    </w:p>
    <w:p>
      <w:r/>
      <w:r>
        <w:t xml:space="preserve">The report demands that providers of AI services disclose when copyrighted material has been used to train models and ensure authors receive “fair remuneration” for such use, establishing transparency and compensation as central obligations. Industry and policy analysis prepared for the Parliament has warned that current text and data mining exceptions and training practices create legal uncertainty, prompting calls for clearer input/output distinctions and harmonised opt-out mechanisms. (Paragraph 2) - Sources: </w:t>
      </w:r>
      <w:hyperlink r:id="rId9">
        <w:r>
          <w:rPr>
            <w:color w:val="0000EE"/>
            <w:u w:val="single"/>
          </w:rPr>
          <w:t>[2]</w:t>
        </w:r>
      </w:hyperlink>
      <w:r>
        <w:t>,</w:t>
      </w:r>
      <w:hyperlink r:id="rId10">
        <w:r>
          <w:rPr>
            <w:color w:val="0000EE"/>
            <w:u w:val="single"/>
          </w:rPr>
          <w:t>[4]</w:t>
        </w:r>
      </w:hyperlink>
      <w:r/>
    </w:p>
    <w:p>
      <w:r/>
      <w:r>
        <w:t xml:space="preserve">MEPs also urged steps to safeguard media plurality, warning that certain AI systems risk concentrating attention and revenues by selectively harvesting online content. The committee proposes that news organisations be granted “full control over the use of content” for AI training and the right to refuse inclusion, coupled with mechanisms to secure “adequate compensation” where their material is exploited. (Paragraph 3) - Sources: </w:t>
      </w:r>
      <w:hyperlink r:id="rId9">
        <w:r>
          <w:rPr>
            <w:color w:val="0000EE"/>
            <w:u w:val="single"/>
          </w:rPr>
          <w:t>[2]</w:t>
        </w:r>
      </w:hyperlink>
      <w:r>
        <w:t>,</w:t>
      </w:r>
      <w:hyperlink r:id="rId11">
        <w:r>
          <w:rPr>
            <w:color w:val="0000EE"/>
            <w:u w:val="single"/>
          </w:rPr>
          <w:t>[6]</w:t>
        </w:r>
      </w:hyperlink>
      <w:r/>
    </w:p>
    <w:p>
      <w:r/>
      <w:r>
        <w:t xml:space="preserve">Speaking in the committee, German People’s Party MEP Axel Foss framed the initiative as a balance between technological progress and intellectual-property protection, saying: "Our goal is to support innovation by defending the fundamental principles of intellectual property." He added that "clear, enforceable rules are key to guaranteeing Europe’s technological dominance." Those remarks underscored the report’s effort to reconcile support for AI with enforceable rights for creators. (Paragraph 4) - Sources: </w:t>
      </w:r>
      <w:hyperlink r:id="rId9">
        <w:r>
          <w:rPr>
            <w:color w:val="0000EE"/>
            <w:u w:val="single"/>
          </w:rPr>
          <w:t>[2]</w:t>
        </w:r>
      </w:hyperlink>
      <w:r>
        <w:t>,</w:t>
      </w:r>
      <w:hyperlink r:id="rId12">
        <w:r>
          <w:rPr>
            <w:color w:val="0000EE"/>
            <w:u w:val="single"/>
          </w:rPr>
          <w:t>[3]</w:t>
        </w:r>
      </w:hyperlink>
      <w:r/>
    </w:p>
    <w:p>
      <w:r/>
      <w:r>
        <w:t xml:space="preserve">The committee’s move follows months of study and debate. A European Parliament-commissioned analysis highlighted the mismatch between how generative AI is trained and the contours of EU copyright law, and research released last year found uncertainty over whether copyright principles are consistently applied to training datasets. The committee’s recommendations build on those findings and on the 2024 EU law that obliges AI systems to respect copyright, urging stronger enforcement and clearer licensing frameworks. (Paragraph 5) - Sources: </w:t>
      </w:r>
      <w:hyperlink r:id="rId10">
        <w:r>
          <w:rPr>
            <w:color w:val="0000EE"/>
            <w:u w:val="single"/>
          </w:rPr>
          <w:t>[4]</w:t>
        </w:r>
      </w:hyperlink>
      <w:r>
        <w:t>,</w:t>
      </w:r>
      <w:hyperlink r:id="rId9">
        <w:r>
          <w:rPr>
            <w:color w:val="0000EE"/>
            <w:u w:val="single"/>
          </w:rPr>
          <w:t>[2]</w:t>
        </w:r>
      </w:hyperlink>
      <w:r/>
    </w:p>
    <w:p>
      <w:r/>
      <w:r>
        <w:t xml:space="preserve">Parliamentary questions from several MEPs have amplified concerns about AI’s impact on music and other creative sectors, and the European Commission has signalled forthcoming measures including transparency obligations and an AI strategy for cultural and creative industries. The committee’s report now proceeds to the full Parliament, where MEPs will vote on whether to adopt the proposed safeguards and require providers operating in the EU to comply. (Paragraph 6) - Sources: </w:t>
      </w:r>
      <w:hyperlink r:id="rId13">
        <w:r>
          <w:rPr>
            <w:color w:val="0000EE"/>
            <w:u w:val="single"/>
          </w:rPr>
          <w:t>[5]</w:t>
        </w:r>
      </w:hyperlink>
      <w:r>
        <w:t>,</w:t>
      </w:r>
      <w:hyperlink r:id="rId11">
        <w:r>
          <w:rPr>
            <w:color w:val="0000EE"/>
            <w:u w:val="single"/>
          </w:rPr>
          <w:t>[6]</w:t>
        </w:r>
      </w:hyperlink>
      <w:r>
        <w:t>,</w:t>
      </w:r>
      <w:hyperlink r:id="rId14">
        <w:r>
          <w:rPr>
            <w:color w:val="0000EE"/>
            <w:u w:val="single"/>
          </w:rPr>
          <w:t>[7]</w:t>
        </w:r>
      </w:hyperlink>
      <w:r/>
    </w:p>
    <w:p>
      <w:pPr>
        <w:pStyle w:val="Heading3"/>
      </w:pPr>
      <w:r>
        <w:t>Source Reference Map</w:t>
      </w:r>
      <w:r/>
    </w:p>
    <w:p>
      <w:r/>
      <w:r>
        <w:rPr>
          <w:b/>
        </w:rPr>
        <w:t>Inspired by headline at:</w:t>
      </w:r>
      <w:r>
        <w:t xml:space="preserve"> </w:t>
      </w:r>
      <w:hyperlink r:id="rId15">
        <w:r>
          <w:rPr>
            <w:color w:val="0000EE"/>
            <w:u w:val="single"/>
          </w:rPr>
          <w:t>[1]</w:t>
        </w:r>
      </w:hyperlink>
      <w:r/>
    </w:p>
    <w:p>
      <w:r/>
      <w:r>
        <w:rPr>
          <w:b/>
        </w:rPr>
        <w:t>Sources by paragraph:</w:t>
      </w:r>
      <w:r>
        <w:t xml:space="preserve">- Paragraph 1: </w:t>
      </w:r>
      <w:hyperlink r:id="rId9">
        <w:r>
          <w:rPr>
            <w:color w:val="0000EE"/>
            <w:u w:val="single"/>
          </w:rPr>
          <w:t>[2]</w:t>
        </w:r>
      </w:hyperlink>
      <w:r>
        <w:t>,</w:t>
      </w:r>
      <w:hyperlink r:id="rId10">
        <w:r>
          <w:rPr>
            <w:color w:val="0000EE"/>
            <w:u w:val="single"/>
          </w:rPr>
          <w:t>[4]</w:t>
        </w:r>
      </w:hyperlink>
      <w:r>
        <w:t xml:space="preserve">- Paragraph 2: </w:t>
      </w:r>
      <w:hyperlink r:id="rId9">
        <w:r>
          <w:rPr>
            <w:color w:val="0000EE"/>
            <w:u w:val="single"/>
          </w:rPr>
          <w:t>[2]</w:t>
        </w:r>
      </w:hyperlink>
      <w:r>
        <w:t>,</w:t>
      </w:r>
      <w:hyperlink r:id="rId10">
        <w:r>
          <w:rPr>
            <w:color w:val="0000EE"/>
            <w:u w:val="single"/>
          </w:rPr>
          <w:t>[4]</w:t>
        </w:r>
      </w:hyperlink>
      <w:r>
        <w:t xml:space="preserve">- Paragraph 3: </w:t>
      </w:r>
      <w:hyperlink r:id="rId9">
        <w:r>
          <w:rPr>
            <w:color w:val="0000EE"/>
            <w:u w:val="single"/>
          </w:rPr>
          <w:t>[2]</w:t>
        </w:r>
      </w:hyperlink>
      <w:r>
        <w:t>,</w:t>
      </w:r>
      <w:hyperlink r:id="rId11">
        <w:r>
          <w:rPr>
            <w:color w:val="0000EE"/>
            <w:u w:val="single"/>
          </w:rPr>
          <w:t>[6]</w:t>
        </w:r>
      </w:hyperlink>
      <w:r>
        <w:t xml:space="preserve">- Paragraph 4: </w:t>
      </w:r>
      <w:hyperlink r:id="rId9">
        <w:r>
          <w:rPr>
            <w:color w:val="0000EE"/>
            <w:u w:val="single"/>
          </w:rPr>
          <w:t>[2]</w:t>
        </w:r>
      </w:hyperlink>
      <w:r>
        <w:t>,</w:t>
      </w:r>
      <w:hyperlink r:id="rId12">
        <w:r>
          <w:rPr>
            <w:color w:val="0000EE"/>
            <w:u w:val="single"/>
          </w:rPr>
          <w:t>[3]</w:t>
        </w:r>
      </w:hyperlink>
      <w:r>
        <w:t xml:space="preserve">- Paragraph 5: </w:t>
      </w:r>
      <w:hyperlink r:id="rId10">
        <w:r>
          <w:rPr>
            <w:color w:val="0000EE"/>
            <w:u w:val="single"/>
          </w:rPr>
          <w:t>[4]</w:t>
        </w:r>
      </w:hyperlink>
      <w:r>
        <w:t>,</w:t>
      </w:r>
      <w:hyperlink r:id="rId9">
        <w:r>
          <w:rPr>
            <w:color w:val="0000EE"/>
            <w:u w:val="single"/>
          </w:rPr>
          <w:t>[2]</w:t>
        </w:r>
      </w:hyperlink>
      <w:r>
        <w:t xml:space="preserve">- Paragraph 6: </w:t>
      </w:r>
      <w:hyperlink r:id="rId13">
        <w:r>
          <w:rPr>
            <w:color w:val="0000EE"/>
            <w:u w:val="single"/>
          </w:rPr>
          <w:t>[5]</w:t>
        </w:r>
      </w:hyperlink>
      <w:r>
        <w:t>,</w:t>
      </w:r>
      <w:hyperlink r:id="rId11">
        <w:r>
          <w:rPr>
            <w:color w:val="0000EE"/>
            <w:u w:val="single"/>
          </w:rPr>
          <w:t>[6]</w:t>
        </w:r>
      </w:hyperlink>
      <w:r>
        <w:t>,</w:t>
      </w:r>
      <w:hyperlink r:id="rId14">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5">
        <w:r>
          <w:rPr>
            <w:color w:val="0000EE"/>
            <w:u w:val="single"/>
          </w:rPr>
          <w:t>https://en.protothema.gr/2026/01/28/european-parliament-yes-to-ai-protection-for-artists-and-media-in-the-eu/</w:t>
        </w:r>
      </w:hyperlink>
      <w:r>
        <w:t xml:space="preserve"> - Please view link - unable to able to access data</w:t>
      </w:r>
      <w:r/>
    </w:p>
    <w:p>
      <w:pPr>
        <w:pStyle w:val="ListNumber"/>
        <w:spacing w:line="240" w:lineRule="auto"/>
        <w:ind w:left="720"/>
      </w:pPr>
      <w:r/>
      <w:hyperlink r:id="rId9">
        <w:r>
          <w:rPr>
            <w:color w:val="0000EE"/>
            <w:u w:val="single"/>
          </w:rPr>
          <w:t>https://www.europarl.europa.eu/news/en/press-room/20260126IPR32636/</w:t>
        </w:r>
      </w:hyperlink>
      <w:r>
        <w:t xml:space="preserve"> - On 26 January 2026, the European Parliament's Legal Affairs Committee approved a report advocating better protection for copyright holders in the age of generative AI. The report calls for EU copyright law to apply to all generative AI systems available on the EU market, regardless of their origin. It demands transparency from AI providers regarding the use of copyrighted content and fair remuneration for creators. The report also urges measures to protect media pluralism and individual rights against AI-generated content. The report is set to be voted on by the European Parliament plenary in March 2026.</w:t>
      </w:r>
      <w:r/>
    </w:p>
    <w:p>
      <w:pPr>
        <w:pStyle w:val="ListNumber"/>
        <w:spacing w:line="240" w:lineRule="auto"/>
        <w:ind w:left="720"/>
      </w:pPr>
      <w:r/>
      <w:hyperlink r:id="rId12">
        <w:r>
          <w:rPr>
            <w:color w:val="0000EE"/>
            <w:u w:val="single"/>
          </w:rPr>
          <w:t>https://www.europarl.europa.eu/committees/en/generative-ai-and-copyright/product-details/20250603WKS06402</w:t>
        </w:r>
      </w:hyperlink>
      <w:r>
        <w:t xml:space="preserve"> - On 4 June 2025, the European Parliament's Committee on Legal Affairs, supported by the Policy Department for Justice, Civil Liberties and Institutional Affairs, organised a workshop titled 'Generative AI and Copyright'. The event featured presentations on the legal aspects of generative AI, technological and economic dimensions, and discussions on the interplay between copyright and generative AI. The workshop aimed to address the challenges and opportunities posed by generative AI in the context of copyright law.</w:t>
      </w:r>
      <w:r/>
    </w:p>
    <w:p>
      <w:pPr>
        <w:pStyle w:val="ListNumber"/>
        <w:spacing w:line="240" w:lineRule="auto"/>
        <w:ind w:left="720"/>
      </w:pPr>
      <w:r/>
      <w:hyperlink r:id="rId10">
        <w:r>
          <w:rPr>
            <w:color w:val="0000EE"/>
            <w:u w:val="single"/>
          </w:rPr>
          <w:t>https://www.europarl.europa.eu/thinktank/en/document/IUST_STU%282025%29774095</w:t>
        </w:r>
      </w:hyperlink>
      <w:r>
        <w:t xml:space="preserve"> - A study commissioned by the European Parliament's Policy Department for Justice, Civil Liberties and Institutional Affairs examines how generative AI challenges core principles of EU copyright law. The study highlights the legal mismatch between AI training practices and current text and data mining exceptions, and the uncertain status of AI-generated content. It calls for clear rules on input/output distinctions, harmonised opt-out mechanisms, transparency obligations, and equitable licensing models to balance innovation and authors’ rights.</w:t>
      </w:r>
      <w:r/>
    </w:p>
    <w:p>
      <w:pPr>
        <w:pStyle w:val="ListNumber"/>
        <w:spacing w:line="240" w:lineRule="auto"/>
        <w:ind w:left="720"/>
      </w:pPr>
      <w:r/>
      <w:hyperlink r:id="rId13">
        <w:r>
          <w:rPr>
            <w:color w:val="0000EE"/>
            <w:u w:val="single"/>
          </w:rPr>
          <w:t>https://www.europarl.europa.eu/doceo/document/E-10-2025-000733_EN.html</w:t>
        </w:r>
      </w:hyperlink>
      <w:r>
        <w:t xml:space="preserve"> - On 18 February 2025, MEP Catherine Griset submitted a parliamentary question to the European Commission regarding music created by artificial intelligence and its impact on competition between humans and machines. The question addresses concerns about AI-generated music potentially undermining fair remuneration for cultural and creative professionals and seeks information on the Commission's plans to regulate this issue.</w:t>
      </w:r>
      <w:r/>
    </w:p>
    <w:p>
      <w:pPr>
        <w:pStyle w:val="ListNumber"/>
        <w:spacing w:line="240" w:lineRule="auto"/>
        <w:ind w:left="720"/>
      </w:pPr>
      <w:r/>
      <w:hyperlink r:id="rId11">
        <w:r>
          <w:rPr>
            <w:color w:val="0000EE"/>
            <w:u w:val="single"/>
          </w:rPr>
          <w:t>https://www.europarl.europa.eu/doceo/document/E-10-2025-002333-ASW_EN.html</w:t>
        </w:r>
      </w:hyperlink>
      <w:r>
        <w:t xml:space="preserve"> - On 4 August 2025, Executive Vice-President Virkkunen, on behalf of the European Commission, responded to a parliamentary question regarding works of art generated by artificial intelligence and artists’ rights. The response outlines the Commission's plans to ensure transparency obligations for AI systems that generate or manipulate content, including artistic content and deepfakes, and mentions the forthcoming AI strategy for Cultural and Creative Sectors.</w:t>
      </w:r>
      <w:r/>
    </w:p>
    <w:p>
      <w:pPr>
        <w:pStyle w:val="ListNumber"/>
        <w:spacing w:line="240" w:lineRule="auto"/>
        <w:ind w:left="720"/>
      </w:pPr>
      <w:r/>
      <w:hyperlink r:id="rId14">
        <w:r>
          <w:rPr>
            <w:color w:val="0000EE"/>
            <w:u w:val="single"/>
          </w:rPr>
          <w:t>https://www.europarl.europa.eu/doceo/document/E-10-2025-000498_EN.html</w:t>
        </w:r>
      </w:hyperlink>
      <w:r>
        <w:t xml:space="preserve"> - On 5 February 2025, MEP Dimitris Tsiodras submitted a parliamentary question to the European Commission regarding measures to protect creators and the cultural and creative industry from the challenges of generative AI. The question highlights concerns about AI companies using copyright-protected content without licences to develop their models and seeks information on the Commission's plans to address this issue.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uroparl.europa.eu/news/en/press-room/20260126IPR32636/" TargetMode="External"/><Relationship Id="rId10" Type="http://schemas.openxmlformats.org/officeDocument/2006/relationships/hyperlink" Target="https://www.europarl.europa.eu/thinktank/en/document/IUST_STU%282025%29774095" TargetMode="External"/><Relationship Id="rId11" Type="http://schemas.openxmlformats.org/officeDocument/2006/relationships/hyperlink" Target="https://www.europarl.europa.eu/doceo/document/E-10-2025-002333-ASW_EN.html" TargetMode="External"/><Relationship Id="rId12" Type="http://schemas.openxmlformats.org/officeDocument/2006/relationships/hyperlink" Target="https://www.europarl.europa.eu/committees/en/generative-ai-and-copyright/product-details/20250603WKS06402" TargetMode="External"/><Relationship Id="rId13" Type="http://schemas.openxmlformats.org/officeDocument/2006/relationships/hyperlink" Target="https://www.europarl.europa.eu/doceo/document/E-10-2025-000733_EN.html" TargetMode="External"/><Relationship Id="rId14" Type="http://schemas.openxmlformats.org/officeDocument/2006/relationships/hyperlink" Target="https://www.europarl.europa.eu/doceo/document/E-10-2025-000498_EN.html" TargetMode="External"/><Relationship Id="rId15" Type="http://schemas.openxmlformats.org/officeDocument/2006/relationships/hyperlink" Target="https://en.protothema.gr/2026/01/28/european-parliament-yes-to-ai-protection-for-artists-and-media-in-the-eu/"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