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thinktank calls for transparency and licensing reforms to regulate AI-generated news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UK thinktank has urged sweeping changes to how artificial intelligence is allowed to source and present news, proposing standardised "nutrition" labels for AI-generated answers and a licensing regime to ensure publishers are paid for material their journalism helps to create. According to the Institute for Public Policy Research, the aim is to make the provenance and composition of AI news outputs visible to users and to prevent a handful of tech firms from becoming de facto gatekeepers of public information. (Sources: </w:t>
      </w:r>
      <w:hyperlink r:id="rId9">
        <w:r>
          <w:rPr>
            <w:color w:val="0000EE"/>
            <w:u w:val="single"/>
          </w:rPr>
          <w:t>[2]</w:t>
        </w:r>
      </w:hyperlink>
      <w:r>
        <w:t>,</w:t>
      </w:r>
      <w:hyperlink r:id="rId10">
        <w:r>
          <w:rPr>
            <w:color w:val="0000EE"/>
            <w:u w:val="single"/>
          </w:rPr>
          <w:t>[5]</w:t>
        </w:r>
      </w:hyperlink>
      <w:r>
        <w:t>)</w:t>
      </w:r>
      <w:r/>
    </w:p>
    <w:p>
      <w:r/>
      <w:r>
        <w:t xml:space="preserve">The IPPR recommends that the Competition and Markets Authority use newly strengthened powers to begin negotiating collective licensing arrangements with technology companies, enabling publishers to bargain over reuse of their work and to seek compensation for lost traffic and advertising. Industry analysis shows growing concern that search and AI summary features, when displayed prominently, can reduce visits to original reporting and therefore publishers’ revenue streams. (Sources: </w:t>
      </w:r>
      <w:hyperlink r:id="rId9">
        <w:r>
          <w:rPr>
            <w:color w:val="0000EE"/>
            <w:u w:val="single"/>
          </w:rPr>
          <w:t>[2]</w:t>
        </w:r>
      </w:hyperlink>
      <w:r>
        <w:t>,</w:t>
      </w:r>
      <w:hyperlink r:id="rId10">
        <w:r>
          <w:rPr>
            <w:color w:val="0000EE"/>
            <w:u w:val="single"/>
          </w:rPr>
          <w:t>[5]</w:t>
        </w:r>
      </w:hyperlink>
      <w:r>
        <w:t>)</w:t>
      </w:r>
      <w:r/>
    </w:p>
    <w:p>
      <w:r/>
      <w:r>
        <w:t xml:space="preserve">In a hands-on audit the IPPR tested four leading systems, ChatGPT, Google Gemini, Perplexity and Google’s AI overviews, feeding them 100 news-related queries and examining more than 2,500 links returned. The analysis found major inconsistencies in which outlets were cited: the BBC appeared absent from responses from some models, while certain outlets with licensing arrangements were heavily represented. Roa Powell, senior research fellow at IPPR and co-author of the report, warned: “AI tools are rapidly becoming the front door to news, but right now that door is being controlled by a handful of tech companies with little transparency or accountability.” (Sources: </w:t>
      </w:r>
      <w:hyperlink r:id="rId9">
        <w:r>
          <w:rPr>
            <w:color w:val="0000EE"/>
            <w:u w:val="single"/>
          </w:rPr>
          <w:t>[2]</w:t>
        </w:r>
      </w:hyperlink>
      <w:r>
        <w:t>)</w:t>
      </w:r>
      <w:r/>
    </w:p>
    <w:p>
      <w:r/>
      <w:r>
        <w:t xml:space="preserve">Beyond questions of prominence, the IPPR argues licensing could entrench inequalities in the news ecosystem. Academic research into newsroom AI usage shows automated content is already unevenly distributed across outlets and formats, and that transparency about AI use in journalism remains rare. The thinktank cautioned that deals between major publishers and AI vendors might advantage well-resourced organisations while sidelining smaller and local titles. (Sources: </w:t>
      </w:r>
      <w:hyperlink r:id="rId11">
        <w:r>
          <w:rPr>
            <w:color w:val="0000EE"/>
            <w:u w:val="single"/>
          </w:rPr>
          <w:t>[3]</w:t>
        </w:r>
      </w:hyperlink>
      <w:r>
        <w:t>,</w:t>
      </w:r>
      <w:hyperlink r:id="rId9">
        <w:r>
          <w:rPr>
            <w:color w:val="0000EE"/>
            <w:u w:val="single"/>
          </w:rPr>
          <w:t>[2]</w:t>
        </w:r>
      </w:hyperlink>
      <w:r>
        <w:t>)</w:t>
      </w:r>
      <w:r/>
    </w:p>
    <w:p>
      <w:r/>
      <w:r>
        <w:t xml:space="preserve">Separate audits raise further doubts about the current state of disclosure and labelling. A platform-focused review found that major social services frequently fail to mark synthetic images and video correctly, with only around a third of sampled posts carrying explicit AI labels. Researchers and industry specialists say voluntary or technical tagging regimes have been inconsistently implemented, underlining the limits of a solely self-regulatory approach. (Sources: </w:t>
      </w:r>
      <w:hyperlink r:id="rId12">
        <w:r>
          <w:rPr>
            <w:color w:val="0000EE"/>
            <w:u w:val="single"/>
          </w:rPr>
          <w:t>[4]</w:t>
        </w:r>
      </w:hyperlink>
      <w:r>
        <w:t>,</w:t>
      </w:r>
      <w:hyperlink r:id="rId11">
        <w:r>
          <w:rPr>
            <w:color w:val="0000EE"/>
            <w:u w:val="single"/>
          </w:rPr>
          <w:t>[3]</w:t>
        </w:r>
      </w:hyperlink>
      <w:r>
        <w:t>)</w:t>
      </w:r>
      <w:r/>
    </w:p>
    <w:p>
      <w:r/>
      <w:r>
        <w:t xml:space="preserve">Proposals to require "nutrition facts" for AI recall private-sector precedents and growing consumer appetite for transparency. Companies such as Twilio have published machine-readable and human-friendly AI fact sheets that detail models used, data handling and limitations, while surveys and commentary argue that an accessible, standardised label could help users evaluate credibility much as food labels help consumers assess products. Advocates say a plain-language framework would bridge the gap between technical model cards and everyday audiences. (Sources: </w:t>
      </w:r>
      <w:hyperlink r:id="rId13">
        <w:r>
          <w:rPr>
            <w:color w:val="0000EE"/>
            <w:u w:val="single"/>
          </w:rPr>
          <w:t>[6]</w:t>
        </w:r>
      </w:hyperlink>
      <w:r>
        <w:t>,</w:t>
      </w:r>
      <w:hyperlink r:id="rId10">
        <w:r>
          <w:rPr>
            <w:color w:val="0000EE"/>
            <w:u w:val="single"/>
          </w:rPr>
          <w:t>[5]</w:t>
        </w:r>
      </w:hyperlink>
      <w:r>
        <w:t>,</w:t>
      </w:r>
      <w:hyperlink r:id="rId14">
        <w:r>
          <w:rPr>
            <w:color w:val="0000EE"/>
            <w:u w:val="single"/>
          </w:rPr>
          <w:t>[7]</w:t>
        </w:r>
      </w:hyperlink>
      <w:r>
        <w:t>)</w:t>
      </w:r>
      <w:r/>
    </w:p>
    <w:p>
      <w:r/>
      <w:r>
        <w:t xml:space="preserve">The IPPR further calls for public support to nurture investigative and local reporting models that might not thrive under market pressure, and for regulators to guard copyright protections so any licensing market endures. Policymakers in the UK and overseas are already moving toward stricter transparency rules for AI; proponents say combining mandatory labelling, fair-pay licensing and targeted public funding offers the best chance of preserving plurality and trust as AI becomes a primary news source. (Sources: </w:t>
      </w:r>
      <w:hyperlink r:id="rId9">
        <w:r>
          <w:rPr>
            <w:color w:val="0000EE"/>
            <w:u w:val="single"/>
          </w:rPr>
          <w:t>[2]</w:t>
        </w:r>
      </w:hyperlink>
      <w:r>
        <w:t>,</w:t>
      </w:r>
      <w:hyperlink r:id="rId12">
        <w:r>
          <w:rPr>
            <w:color w:val="0000EE"/>
            <w:u w:val="single"/>
          </w:rPr>
          <w:t>[4]</w:t>
        </w:r>
      </w:hyperlink>
      <w:r>
        <w:t>,</w:t>
      </w:r>
      <w:hyperlink r:id="rId10">
        <w:r>
          <w:rPr>
            <w:color w:val="0000EE"/>
            <w:u w:val="single"/>
          </w:rPr>
          <w:t>[5]</w:t>
        </w:r>
      </w:hyperlink>
      <w:r>
        <w:t>)</w:t>
      </w:r>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Paragraph 4: </w:t>
      </w:r>
      <w:hyperlink r:id="rId11">
        <w:r>
          <w:rPr>
            <w:color w:val="0000EE"/>
            <w:u w:val="single"/>
          </w:rPr>
          <w:t>[3]</w:t>
        </w:r>
      </w:hyperlink>
      <w:r>
        <w:t xml:space="preserve">, </w:t>
      </w:r>
      <w:hyperlink r:id="rId9">
        <w:r>
          <w:rPr>
            <w:color w:val="0000EE"/>
            <w:u w:val="single"/>
          </w:rPr>
          <w:t>[2]</w:t>
        </w:r>
      </w:hyperlink>
      <w:r>
        <w:t xml:space="preserve">- Paragraph 5: </w:t>
      </w:r>
      <w:hyperlink r:id="rId12">
        <w:r>
          <w:rPr>
            <w:color w:val="0000EE"/>
            <w:u w:val="single"/>
          </w:rPr>
          <w:t>[4]</w:t>
        </w:r>
      </w:hyperlink>
      <w:r>
        <w:t xml:space="preserve">, </w:t>
      </w:r>
      <w:hyperlink r:id="rId11">
        <w:r>
          <w:rPr>
            <w:color w:val="0000EE"/>
            <w:u w:val="single"/>
          </w:rPr>
          <w:t>[3]</w:t>
        </w:r>
      </w:hyperlink>
      <w:r>
        <w:t xml:space="preserve">- Paragraph 6: </w:t>
      </w:r>
      <w:hyperlink r:id="rId13">
        <w:r>
          <w:rPr>
            <w:color w:val="0000EE"/>
            <w:u w:val="single"/>
          </w:rPr>
          <w:t>[6]</w:t>
        </w:r>
      </w:hyperlink>
      <w:r>
        <w:t xml:space="preserve">, </w:t>
      </w:r>
      <w:hyperlink r:id="rId10">
        <w:r>
          <w:rPr>
            <w:color w:val="0000EE"/>
            <w:u w:val="single"/>
          </w:rPr>
          <w:t>[5]</w:t>
        </w:r>
      </w:hyperlink>
      <w:r>
        <w:t xml:space="preserve">, </w:t>
      </w:r>
      <w:hyperlink r:id="rId14">
        <w:r>
          <w:rPr>
            <w:color w:val="0000EE"/>
            <w:u w:val="single"/>
          </w:rPr>
          <w:t>[7]</w:t>
        </w:r>
      </w:hyperlink>
      <w:r>
        <w:t xml:space="preserve">- Paragraph 7: </w:t>
      </w:r>
      <w:hyperlink r:id="rId9">
        <w:r>
          <w:rPr>
            <w:color w:val="0000EE"/>
            <w:u w:val="single"/>
          </w:rPr>
          <w:t>[2]</w:t>
        </w:r>
      </w:hyperlink>
      <w:r>
        <w:t xml:space="preserve">, </w:t>
      </w:r>
      <w:hyperlink r:id="rId12">
        <w:r>
          <w:rPr>
            <w:color w:val="0000EE"/>
            <w:u w:val="single"/>
          </w:rPr>
          <w:t>[4]</w:t>
        </w:r>
      </w:hyperlink>
      <w:r>
        <w:t xml:space="preserve">, </w:t>
      </w:r>
      <w:hyperlink r:id="rId10">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https://www.theguardian.com/technology/2026/jan/30/ai-generated-news-should-carry-nutrition-labels-thinktank-says</w:t>
        </w:r>
      </w:hyperlink>
      <w:r>
        <w:t xml:space="preserve"> - Please view link - unable to able to access data</w:t>
      </w:r>
      <w:r/>
    </w:p>
    <w:p>
      <w:pPr>
        <w:pStyle w:val="ListNumber"/>
        <w:spacing w:line="240" w:lineRule="auto"/>
        <w:ind w:left="720"/>
      </w:pPr>
      <w:r/>
      <w:hyperlink r:id="rId9">
        <w:r>
          <w:rPr>
            <w:color w:val="0000EE"/>
            <w:u w:val="single"/>
          </w:rPr>
          <w:t>https://www.ippr.org/media-office/revealed-chatgpt-draws-more-on-gb-news-al-jazeera-and-marie-claire-than-the-bbc-ippr-analysis-shows</w:t>
        </w:r>
      </w:hyperlink>
      <w:r>
        <w:t xml:space="preserve"> - The Institute for Public Policy Research (IPPR) analysed how four leading AI tools—ChatGPT, Google Gemini, Perplexity, and Google AI Overviews—respond to news queries. The study found that the BBC was missing entirely from ChatGPT and Gemini, partly due to the murky rules governing this interaction. Other major news outlets also received limited exposure on ChatGPT: The Telegraph was cited in just 4% of answers, GB News in 3%, the Sun in 1%, and the Daily Mail in 0%. ChatGPT’s top source was the Guardian, which was used as a source in 58% of responses, followed by Reuters, the Independent, and the Financial Times. The think tank recommends making AI companies pay for the news they use, by requiring fair payment and collective licensing deals that ensure a wide range of publishers are included, introducing clear, standardised “nutrition labels” for AI news so the public can see where AI answers come from and how they’re shaped, and using public funding to protect independent news in the age of AI, by backing a BBC-led public interest AI news service. Roa Powell, senior research fellow at IPPR, said: “AI tools are rapidly becoming the front door to news, but right now that door is being controlled by a handful of tech companies with little transparency or accountability. When the UK’s most trusted news source can disappear entirely from AI answers, it’s a warning sign. If AI companies are going to profit from journalism and shape what the public sees, they must be required to pay fairly for the news they use and operate under clear rules that protect plurality, trust and the long-term future of independent journalism.”</w:t>
      </w:r>
      <w:r/>
    </w:p>
    <w:p>
      <w:pPr>
        <w:pStyle w:val="ListNumber"/>
        <w:spacing w:line="240" w:lineRule="auto"/>
        <w:ind w:left="720"/>
      </w:pPr>
      <w:r/>
      <w:hyperlink r:id="rId11">
        <w:r>
          <w:rPr>
            <w:color w:val="0000EE"/>
            <w:u w:val="single"/>
          </w:rPr>
          <w:t>https://arxiv.org/abs/2510.18774</w:t>
        </w:r>
      </w:hyperlink>
      <w:r>
        <w:t xml:space="preserve"> - A study titled 'AI use in American newspapers is widespread, uneven, and rarely disclosed' audited a large-scale dataset of 186,000 articles from online editions of 1,500 American newspapers published in the summer of 2025. Using Pangram, a state-of-the-art AI detector, the researchers discovered that approximately 9% of newly-published articles are either partially or fully AI-generated. This AI use is unevenly distributed, appearing more frequently in smaller, local outlets, in specific topics such as weather and technology, and within certain ownership groups. The study also found that opinion pieces from major publications like the Washington Post, New York Times, and Wall Street Journal are 6.4 times more likely to contain AI-generated content than news articles from the same publications, with many AI-flagged op-eds authored by prominent public figures. Despite this prevalence, the study found that AI use is rarely disclosed: a manual audit of 100 AI-flagged articles found only five disclosures of AI use. The researchers highlight the immediate need for greater transparency and updated editorial standards regarding the use of AI in journalism to maintain public trust.</w:t>
      </w:r>
      <w:r/>
    </w:p>
    <w:p>
      <w:pPr>
        <w:pStyle w:val="ListNumber"/>
        <w:spacing w:line="240" w:lineRule="auto"/>
        <w:ind w:left="720"/>
      </w:pPr>
      <w:r/>
      <w:hyperlink r:id="rId12">
        <w:r>
          <w:rPr>
            <w:color w:val="0000EE"/>
            <w:u w:val="single"/>
          </w:rPr>
          <w:t>https://indicator.media/p/tech-platforms-fail-to-label-ai-content-c2pa-metadata</w:t>
        </w:r>
      </w:hyperlink>
      <w:r>
        <w:t xml:space="preserve"> - An audit by Indicator Media found that five major platforms—Instagram, LinkedIn, Pinterest, TikTok, and YouTube—frequently failed to label AI-generated content. Over three weeks, 516 posts containing AI images and videos were published across these platforms, but only 169 posts (just over 30%) were correctly labeled as AI-generated. Some platforms, like Google and Meta, regularly failed to label content created using their own generative AI tools. TikTok labeled synthetic content created using its in-app tool but didn’t add a disclaimer to any other AI videos. Pinterest was the most effective at labeling AI images, though its success rate was still just 55%. The results raise concerns about Big Tech’s implementation of efforts aimed at helping users navigate the modern information environment. Andy Parsons, senior director for content authenticity at Adobe and a driving force of C2PA, acknowledged that 'display on platforms is inconsistent. While many platforms read C2PA data, it is sometimes used for internal purposes and not displayed to users. We expect adoption of display to increase in the coming months.' The current state of AI labeling may reflect the limits of a self-regulatory approach. Regulations related to labeling are set to go into effect in California and the European Union in the summer of 2026.</w:t>
      </w:r>
      <w:r/>
    </w:p>
    <w:p>
      <w:pPr>
        <w:pStyle w:val="ListNumber"/>
        <w:spacing w:line="240" w:lineRule="auto"/>
        <w:ind w:left="720"/>
      </w:pPr>
      <w:r/>
      <w:hyperlink r:id="rId10">
        <w:r>
          <w:rPr>
            <w:color w:val="0000EE"/>
            <w:u w:val="single"/>
          </w:rPr>
          <w:t>https://www.forbes.com/councils/forbestechcouncil/2025/12/09/the-ai-nutrition-label-the-case-for-ai-transparency-in-2026/</w:t>
        </w:r>
      </w:hyperlink>
      <w:r>
        <w:t xml:space="preserve"> - An article in Forbes discusses the growing demand for AI transparency, likening it to the introduction of nutrition labels on food products. A 2025 survey by RWS of 5,000 consumers globally found that over 80% believe AI-created content should be clearly labeled, while 62% say such transparency would increase their trust in brands. The article highlights that consumers are increasingly scrutinising the AI behind decisions, not just comparing features and prices. With the EU AI Act now in force and comprehensive transparency obligations for high-risk systems scheduled to apply from August 2026, the article notes that disclosure requirements are reshaping enterprise AI strategy. The author, Ajay Pundhir, suggests that organisations should adopt a framework for comprehensive transparency, transform technical documentation into accessible language, and establish responsible AI governance as a market differentiator. He argues that transparency leaders of 2026 will help define industry standards, forcing competitors to play catch-up.</w:t>
      </w:r>
      <w:r/>
    </w:p>
    <w:p>
      <w:pPr>
        <w:pStyle w:val="ListNumber"/>
        <w:spacing w:line="240" w:lineRule="auto"/>
        <w:ind w:left="720"/>
      </w:pPr>
      <w:r/>
      <w:hyperlink r:id="rId13">
        <w:r>
          <w:rPr>
            <w:color w:val="0000EE"/>
            <w:u w:val="single"/>
          </w:rPr>
          <w:t>https://www.imd.org/ibyimd/artificial-intelligence/ai-nutrition-labels-a-food-inspired-approach-to-trust/</w:t>
        </w:r>
      </w:hyperlink>
      <w:r>
        <w:t xml:space="preserve"> - An article from IMD discusses Twilio's proactive approach to AI transparency through its AI Nutrition Facts Label, launched in mid-2023. The label outlines which large language models are used, how customer data is handled, what limitations exist, and how the AI system is designed to behave. This initiative aims to clearly communicate with both technical and non-technical users, consistent with Twilio's ethos of transparency, responsibility, and accountability. The label has been positively received, especially among developers and business leaders, and has gained traction beyond Twilio as an open-source initiative. The article highlights that the nutrition label is more than a compliance tool; it’s a conversation starter, a symbol of intent, and a step toward industry-wide transparency. Kat McCormick Sweeney, Director of Emerging Technology &amp; Innovation at Twilio, noted that while model cards are great, they felt suited to technical audiences, whereas the nutrition label metaphor resonated more with their broad customer base.</w:t>
      </w:r>
      <w:r/>
    </w:p>
    <w:p>
      <w:pPr>
        <w:pStyle w:val="ListNumber"/>
        <w:spacing w:line="240" w:lineRule="auto"/>
        <w:ind w:left="720"/>
      </w:pPr>
      <w:r/>
      <w:hyperlink r:id="rId14">
        <w:r>
          <w:rPr>
            <w:color w:val="0000EE"/>
            <w:u w:val="single"/>
          </w:rPr>
          <w:t>https://www.niemanlab.org/2023/12/most-readers-want-publishers-to-label-ai-generated-articles-but-trust-outlets-less-when-they-do/</w:t>
        </w:r>
      </w:hyperlink>
      <w:r>
        <w:t xml:space="preserve"> - A study by Toff and Simon found that over 80% of readers believe news organisations should alert readers when AI was used in content creation. Among those who wanted disclosure, 78% said news organisations should provide an explanatory note describing how AI was used. The researchers also found that readers suggested practical ways to label AI-generated content, such as using a universally accepted symbol or industry-wide labels similar to nutrition information on food products. However, the study also noted that while people often say they want transparency and disclosure about editorial practices, the likelihood that they will actually read through detailed explanations about the use of these tools is probably quite low. The article highlights the challenges newsrooms face in effectively communicating the use of AI technologies to their audiences and the need for clear and consistent labeling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ppr.org/media-office/revealed-chatgpt-draws-more-on-gb-news-al-jazeera-and-marie-claire-than-the-bbc-ippr-analysis-shows" TargetMode="External"/><Relationship Id="rId10" Type="http://schemas.openxmlformats.org/officeDocument/2006/relationships/hyperlink" Target="https://www.forbes.com/councils/forbestechcouncil/2025/12/09/the-ai-nutrition-label-the-case-for-ai-transparency-in-2026/" TargetMode="External"/><Relationship Id="rId11" Type="http://schemas.openxmlformats.org/officeDocument/2006/relationships/hyperlink" Target="https://arxiv.org/abs/2510.18774" TargetMode="External"/><Relationship Id="rId12" Type="http://schemas.openxmlformats.org/officeDocument/2006/relationships/hyperlink" Target="https://indicator.media/p/tech-platforms-fail-to-label-ai-content-c2pa-metadata" TargetMode="External"/><Relationship Id="rId13" Type="http://schemas.openxmlformats.org/officeDocument/2006/relationships/hyperlink" Target="https://www.imd.org/ibyimd/artificial-intelligence/ai-nutrition-labels-a-food-inspired-approach-to-trust/" TargetMode="External"/><Relationship Id="rId14" Type="http://schemas.openxmlformats.org/officeDocument/2006/relationships/hyperlink" Target="https://www.niemanlab.org/2023/12/most-readers-want-publishers-to-label-ai-generated-articles-but-trust-outlets-less-when-they-do/" TargetMode="External"/><Relationship Id="rId15" Type="http://schemas.openxmlformats.org/officeDocument/2006/relationships/hyperlink" Target="https://www.theguardian.com/technology/2026/jan/30/ai-generated-news-should-carry-nutrition-labels-thinktank-say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