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Anthropic’s constitutional approach highlights urgent questions about AI and democratic resilience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About 15 months after switching from one major chat service to another over ethical concerns, the author of Anthropic’s newly published “constitution” for Claude says the move crystallises a broader dilemma confronting both republican governance and AI: how do we hardwire values into powerful systems and trust those constraints to endure. According to The Century Foundation’s Democracy Meter, American democratic health suffered a sharp downturn in 2025, underlining how fragile institutional guardrails can be when political pressures intensify. (Paragraph informed by reporting and the Century Foundation’s analysis.) </w:t>
      </w:r>
      <w:r/>
    </w:p>
    <w:p>
      <w:r/>
      <w:r>
        <w:t xml:space="preserve">Anthropic released an 84‑page document on 22 January that the company describes as guidance for the behaviour of its general‑access models. The organisation presented the constitution as an explicit statement of principles intended to shape model responses and to make transparent what the firm is trying to build. Industry observers note this arrives as regulators worldwide shift from voluntary frameworks toward enforceable rules, increasing scrutiny of how firms encode values into AI systems. (Paragraph informed by Anthropic’s announcement context and regulatory developments.) </w:t>
      </w:r>
      <w:r/>
    </w:p>
    <w:p>
      <w:r/>
      <w:r>
        <w:t xml:space="preserve">The parallels drawn between a corporate “constitution” and national founding documents are not merely rhetorical. The Constitution of the United States evolved through amendments and political contest; Anthropic’s document calls itself a “living” instrument that the company expects to revise. Observers stress that whether voluntary company codes or national charters, the effectiveness of such instruments depends on the mechanisms that enforce them and the incentives faced by those who wield power. (Paragraph informed by the lead article’s framing and broader commentary on constitutional change.) </w:t>
      </w:r>
      <w:r/>
    </w:p>
    <w:p>
      <w:r/>
      <w:r>
        <w:t xml:space="preserve">Those incentives are shifting in worrying directions, analysts say. The Century Foundation highlights executive aggrandisement and civil‑rights erosions as drivers of democratic decline, while the Brennan Center documents reductions in federal election security support and personnel that have weakened public safeguards. Taken together, these trends illustrate how institutional retreat and concentrated authority can produce real harms for vulnerable groups. (Paragraph informed by The Century Foundation and Brennan Center findings.) </w:t>
      </w:r>
      <w:r/>
    </w:p>
    <w:p>
      <w:r/>
      <w:r>
        <w:t xml:space="preserve">The human cost is not abstract. Rights groups and watchdogs point to increased deaths in immigration detention, aggressive enforcement actions, and diminished oversight as concrete outcomes of policy choices. Meanwhile, legal and operational shifts at the federal level, such as executive directives affecting voter registration and voting systems, have generated confusion that could affect the administration of upcoming elections. Civil liberties organisations are preparing legal responses to protect enfranchisement. (Paragraph informed by reporting on detention deaths, Brennan Center analysis of election orders, and the ACLU’s roadmap.) </w:t>
      </w:r>
      <w:r/>
    </w:p>
    <w:p>
      <w:r/>
      <w:r>
        <w:t xml:space="preserve">Power concentration is mirrored in the technology sector. Industry reporting and expert commentary document layoffs of ethics teams at major cloud and platform providers, creating what analysts call a “vacuum of internal oversight” even as firms race to deploy ever more capable models. That dynamic raises the risk that decisions about safety, fairness and surveillance will be made by a narrow set of executives or product teams rather than through robust, transparent governance. (Paragraph informed by industry trend reporting and analysis.) </w:t>
      </w:r>
      <w:r/>
    </w:p>
    <w:p>
      <w:r/>
      <w:r>
        <w:t xml:space="preserve">Anthropic’s constitution explicitly instructs Claude to refuse requests that would “undermine the integrity of democratic processes” or concentrate power illegitimately, and the company says external experts in law, philosophy and allied fields contributed to the document’s drafting. Yet the firm has also acknowledged carve‑outs for specialised models and signalled that different deployment contexts, particularly government or defence contracts, may not be governed by the same commitments, a distinction that observers say requires close public scrutiny. (Paragraph informed by Anthropic’s statements and reporting on the DoD contract caveat.) </w:t>
      </w:r>
      <w:r/>
    </w:p>
    <w:p>
      <w:r/>
      <w:r>
        <w:t xml:space="preserve">Public use of AI by state actors has already produced troubling incidents that illustrate the stakes. Independent analysis found that an official account posted an AI‑altered image that exaggerated a detainee’s distress and darkened her skin, an action civil‑liberties advocates and journalists say illustrates how automated tools can be used to mislead and to dehumanise. Such episodes reinforce calls for enforceable norms and technical transparency so that citizens and journalists can assess when digital content has been manipulated. (Paragraph informed by investigative reporting and watchdog commentary.) </w:t>
      </w:r>
      <w:r/>
    </w:p>
    <w:p>
      <w:r/>
      <w:r>
        <w:t xml:space="preserve">Because legal and administrative protections are fraying at the same time that technical capabilities expand, experts argue states and localities must step in where federal support has receded. The Brennan Center has published guidance for state officials to bolster election security and to assist local election administrators, recommending targeted investments and coordination to fill gaps left by federal retrenchment. Those practical measures are portrayed as essential stopgaps while broader legal and institutional reforms are pursued. (Paragraph informed by Brennan Center recommendations on state and local action.) </w:t>
      </w:r>
      <w:r/>
    </w:p>
    <w:p>
      <w:r/>
      <w:r>
        <w:t xml:space="preserve">The central lesson, voiced by both policy analysts and the architects of Anthropic’s document, is that rules alone are insufficient without enforcement, accountability and channels for revision that widen participation beyond a small corporate cadre. Whether the safeguard is a national constitution or a company’s behavioural code, the test is not the rhetoric of principles but the institutional capacity to uphold them against concentrated interests. As both the United States approaches its 250th anniversary and AI governance enters its formative year, the choices made now will shape whether these systems entrench narrow power or support broader democratic resilience. (Paragraph informed by multiple sources addressing constitutional evolution, company constitutions, and the need for enforcement and public oversight.)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2">
        <w:r>
          <w:rPr>
            <w:color w:val="0000EE"/>
            <w:u w:val="single"/>
          </w:rPr>
          <w:t>[4]</w:t>
        </w:r>
      </w:hyperlink>
      <w:r>
        <w:t xml:space="preserve">- Paragraph 6: </w:t>
      </w:r>
      <w:hyperlink r:id="rId10">
        <w:r>
          <w:rPr>
            <w:color w:val="0000EE"/>
            <w:u w:val="single"/>
          </w:rPr>
          <w:t>[2]</w:t>
        </w:r>
      </w:hyperlink>
      <w:r>
        <w:t xml:space="preserve">- Paragraph 7: </w:t>
      </w:r>
      <w:hyperlink r:id="rId10">
        <w:r>
          <w:rPr>
            <w:color w:val="0000EE"/>
            <w:u w:val="single"/>
          </w:rPr>
          <w:t>[2]</w:t>
        </w:r>
      </w:hyperlink>
      <w:r>
        <w:t xml:space="preserve">- Paragraph 8: </w:t>
      </w:r>
      <w:hyperlink r:id="rId10">
        <w:r>
          <w:rPr>
            <w:color w:val="0000EE"/>
            <w:u w:val="single"/>
          </w:rPr>
          <w:t>[2]</w:t>
        </w:r>
      </w:hyperlink>
      <w:r>
        <w:t xml:space="preserve">- Paragraph 9: </w:t>
      </w:r>
      <w:hyperlink r:id="rId13">
        <w:r>
          <w:rPr>
            <w:color w:val="0000EE"/>
            <w:u w:val="single"/>
          </w:rPr>
          <w:t>[6]</w:t>
        </w:r>
      </w:hyperlink>
      <w:r>
        <w:t xml:space="preserve">, </w:t>
      </w:r>
      <w:hyperlink r:id="rId14">
        <w:r>
          <w:rPr>
            <w:color w:val="0000EE"/>
            <w:u w:val="single"/>
          </w:rPr>
          <w:t>[7]</w:t>
        </w:r>
      </w:hyperlink>
      <w:r>
        <w:t xml:space="preserve">- Paragraph 10: </w:t>
      </w:r>
      <w:hyperlink r:id="rId10">
        <w:r>
          <w:rPr>
            <w:color w:val="0000EE"/>
            <w:u w:val="single"/>
          </w:rPr>
          <w:t>[2]</w:t>
        </w:r>
      </w:hyperlink>
      <w:r>
        <w:t xml:space="preserve">, </w:t>
      </w:r>
      <w:hyperlink r:id="rId11">
        <w:r>
          <w:rPr>
            <w:color w:val="0000EE"/>
            <w:u w:val="single"/>
          </w:rPr>
          <w:t>[3]</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https://gritdaily.com/constitutional-crossroads-year-250-vs-year-one/</w:t>
        </w:r>
      </w:hyperlink>
      <w:r>
        <w:t xml:space="preserve"> - Please view link - unable to able to access data</w:t>
      </w:r>
      <w:r/>
    </w:p>
    <w:p>
      <w:pPr>
        <w:pStyle w:val="ListNumber"/>
        <w:spacing w:line="240" w:lineRule="auto"/>
        <w:ind w:left="720"/>
      </w:pPr>
      <w:r/>
      <w:hyperlink r:id="rId10">
        <w:r>
          <w:rPr>
            <w:color w:val="0000EE"/>
            <w:u w:val="single"/>
          </w:rPr>
          <w:t>https://tcf.org/content/report/centurys-new-democracy-meter-shows-america-took-an-authoritarian-turn-in-2025/</w:t>
        </w:r>
      </w:hyperlink>
      <w:r>
        <w:t xml:space="preserve"> - The Century Foundation's 2025 evaluation reveals a significant decline in American democracy, with the Democracy Meter rating the United States at 57/100, a 28% drop in just one year. The assessment highlights the aggrandizement of executive powers, grand corruption, and civil rights violations, particularly targeting immigrants. Despite these challenges, elections remain free, offering a potential avenue to reverse the democratic decline. The report underscores the urgency of defending democratic institutions and mechanisms for peaceful political change to address structural weaknesses.</w:t>
      </w:r>
      <w:r/>
    </w:p>
    <w:p>
      <w:pPr>
        <w:pStyle w:val="ListNumber"/>
        <w:spacing w:line="240" w:lineRule="auto"/>
        <w:ind w:left="720"/>
      </w:pPr>
      <w:r/>
      <w:hyperlink r:id="rId11">
        <w:r>
          <w:rPr>
            <w:color w:val="0000EE"/>
            <w:u w:val="single"/>
          </w:rPr>
          <w:t>https://www.brennancenter.org/our-work/research-reports/how-federal-government-undermining-election-security</w:t>
        </w:r>
      </w:hyperlink>
      <w:r>
        <w:t xml:space="preserve"> - The Brennan Center for Justice outlines how the federal government has undermined election security by cutting support in critical areas. The Cybersecurity and Infrastructure Security Agency (CISA) froze all election security activities pending an internal review, and the Department of Justice dismissed numerous attorneys from its civil rights division. These actions have raised concerns about the vulnerability of U.S. elections to foreign interference and the erosion of democratic processes.</w:t>
      </w:r>
      <w:r/>
    </w:p>
    <w:p>
      <w:pPr>
        <w:pStyle w:val="ListNumber"/>
        <w:spacing w:line="240" w:lineRule="auto"/>
        <w:ind w:left="720"/>
      </w:pPr>
      <w:r/>
      <w:hyperlink r:id="rId12">
        <w:r>
          <w:rPr>
            <w:color w:val="0000EE"/>
            <w:u w:val="single"/>
          </w:rPr>
          <w:t>https://www.brennancenter.org/our-work/research-reports/trumps-election-order-creates-much-confusion-next-federal-election-2026</w:t>
        </w:r>
      </w:hyperlink>
      <w:r>
        <w:t xml:space="preserve"> - President Donald Trump's executive order aiming to change U.S. election procedures has created uncertainty among election officials ahead of the 2026 midterms. The order introduces major changes, including requiring documentary proof of U.S. citizenship for voter registration and decertifying certain voting systems. These shifts could be costly and are causing concern due to likely legal challenges, potentially leading to voter confusion and operational issues from abrupt transitions.</w:t>
      </w:r>
      <w:r/>
    </w:p>
    <w:p>
      <w:pPr>
        <w:pStyle w:val="ListNumber"/>
        <w:spacing w:line="240" w:lineRule="auto"/>
        <w:ind w:left="720"/>
      </w:pPr>
      <w:r/>
      <w:hyperlink r:id="rId16">
        <w:r>
          <w:rPr>
            <w:color w:val="0000EE"/>
            <w:u w:val="single"/>
          </w:rPr>
          <w:t>https://www.aclu.org/press-releases/aclu-releases-roadmap-combat-voting-rights-threats-posed-second-trump-term</w:t>
        </w:r>
      </w:hyperlink>
      <w:r>
        <w:t xml:space="preserve"> - The American Civil Liberties Union (ACLU) has released a roadmap to combat voting rights threats posed by a second Trump term. The roadmap includes legal challenges to the administration's actions, such as the executive order requiring proof of citizenship for voter registration, which could disenfranchise millions of eligible voters. The ACLU emphasizes the need for vigilance and legal action to protect voting rights and ensure fair elections.</w:t>
      </w:r>
      <w:r/>
    </w:p>
    <w:p>
      <w:pPr>
        <w:pStyle w:val="ListNumber"/>
        <w:spacing w:line="240" w:lineRule="auto"/>
        <w:ind w:left="720"/>
      </w:pPr>
      <w:r/>
      <w:hyperlink r:id="rId13">
        <w:r>
          <w:rPr>
            <w:color w:val="0000EE"/>
            <w:u w:val="single"/>
          </w:rPr>
          <w:t>https://www.brennancenter.org/our-work/analysis-opinion/how-states-can-help-local-election-officials-keep-2026-2028-elections-safe-and-secure</w:t>
        </w:r>
      </w:hyperlink>
      <w:r>
        <w:t xml:space="preserve"> - The Brennan Center for Justice and R Street Institute have published a guide to help state governments support local election officials in protecting election security amid declining federal support. The guide outlines how state officials can leverage their resources to assist local officials in safeguarding elections, emphasizing the importance of state-level intervention to fill the gaps left by federal cuts and ensure the integrity of the 2026 and 2028 elections.</w:t>
      </w:r>
      <w:r/>
    </w:p>
    <w:p>
      <w:pPr>
        <w:pStyle w:val="ListNumber"/>
        <w:spacing w:line="240" w:lineRule="auto"/>
        <w:ind w:left="720"/>
      </w:pPr>
      <w:r/>
      <w:hyperlink r:id="rId14">
        <w:r>
          <w:rPr>
            <w:color w:val="0000EE"/>
            <w:u w:val="single"/>
          </w:rPr>
          <w:t>https://www.brennancenter.org/our-work/analysis-opinion/how-states-can-fill-election-security-gaps-left-federal-cuts</w:t>
        </w:r>
      </w:hyperlink>
      <w:r>
        <w:t xml:space="preserve"> - The Brennan Center for Justice discusses how states can help fill election security gaps left by federal cuts. The article highlights incidents such as bomb threats targeting polling locations and election offices, emphasizing the need for coordinated efforts at the local, state, and federal levels. With significant cuts to federal resources and guidance for election security, the article underscores the importance of state intervention to support local election officials in maintaining secure elections.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constitutional-crossroads-year-250-vs-year-one/" TargetMode="External"/><Relationship Id="rId10" Type="http://schemas.openxmlformats.org/officeDocument/2006/relationships/hyperlink" Target="https://tcf.org/content/report/centurys-new-democracy-meter-shows-america-took-an-authoritarian-turn-in-2025/" TargetMode="External"/><Relationship Id="rId11" Type="http://schemas.openxmlformats.org/officeDocument/2006/relationships/hyperlink" Target="https://www.brennancenter.org/our-work/research-reports/how-federal-government-undermining-election-security" TargetMode="External"/><Relationship Id="rId12" Type="http://schemas.openxmlformats.org/officeDocument/2006/relationships/hyperlink" Target="https://www.brennancenter.org/our-work/research-reports/trumps-election-order-creates-much-confusion-next-federal-election-2026" TargetMode="External"/><Relationship Id="rId13" Type="http://schemas.openxmlformats.org/officeDocument/2006/relationships/hyperlink" Target="https://www.brennancenter.org/our-work/analysis-opinion/how-states-can-help-local-election-officials-keep-2026-2028-elections-safe-and-secure" TargetMode="External"/><Relationship Id="rId14" Type="http://schemas.openxmlformats.org/officeDocument/2006/relationships/hyperlink" Target="https://www.brennancenter.org/our-work/analysis-opinion/how-states-can-fill-election-security-gaps-left-federal-cuts" TargetMode="External"/><Relationship Id="rId15" Type="http://schemas.openxmlformats.org/officeDocument/2006/relationships/hyperlink" Target="https://www.noahwire.com" TargetMode="External"/><Relationship Id="rId16" Type="http://schemas.openxmlformats.org/officeDocument/2006/relationships/hyperlink" Target="https://www.aclu.org/press-releases/aclu-releases-roadmap-combat-voting-rights-threats-posed-second-trump-te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