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considers comprehensive AI safeguards to protect students as districts experiment with classroom technology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As generative artificial intelligence reshapes classroom practice and student interaction, Florida faces a policy choice about how to embrace the technology while preventing harms to minors. Education leaders and advocacy groups in the state are urging a coherent, statewide framework that protects student privacy and safety even as schools explore AI’s instructional benefits. According to the Florida AI Taskforce’s executive summary and policy proposals from advocacy groups, guidelines must reconcile federal privacy laws with practical safeguards for K‑12 settings. </w:t>
      </w:r>
      <w:hyperlink r:id="rId9">
        <w:r>
          <w:rPr>
            <w:color w:val="0000EE"/>
            <w:u w:val="single"/>
          </w:rPr>
          <w:t>[2]</w:t>
        </w:r>
      </w:hyperlink>
      <w:r>
        <w:t>,</w:t>
      </w:r>
      <w:hyperlink r:id="rId10">
        <w:r>
          <w:rPr>
            <w:color w:val="0000EE"/>
            <w:u w:val="single"/>
          </w:rPr>
          <w:t>[7]</w:t>
        </w:r>
      </w:hyperlink>
      <w:r/>
    </w:p>
    <w:p>
      <w:r/>
      <w:r>
        <w:t xml:space="preserve">Federal action has tried to set broad parameters for AI while leaving room for states to protect children. According to reporting on recent federal guidance, that carve‑out permits states to adopt child‑focused rules; meanwhile, state lawmakers and the governor have supported an Artificial Intelligence Bill of Rights and proposals that would impose limits on how companies use pupil data. Those state initiatives include measures to prevent the sale or disclosure of identifiable student information and to require parental consent for certain AI services. </w:t>
      </w:r>
      <w:hyperlink r:id="rId11">
        <w:r>
          <w:rPr>
            <w:color w:val="0000EE"/>
            <w:u w:val="single"/>
          </w:rPr>
          <w:t>[4]</w:t>
        </w:r>
      </w:hyperlink>
      <w:r>
        <w:t>,</w:t>
      </w:r>
      <w:hyperlink r:id="rId9">
        <w:r>
          <w:rPr>
            <w:color w:val="0000EE"/>
            <w:u w:val="single"/>
          </w:rPr>
          <w:t>[2]</w:t>
        </w:r>
      </w:hyperlink>
      <w:r/>
    </w:p>
    <w:p>
      <w:r/>
      <w:r>
        <w:t xml:space="preserve">A central policy aim should be consistent procurement and usage standards across Florida’s public schools so protections do not vary by district capacity. University and taskforce guidance highlights the legal and technical constraints that must be considered when districts buy or permit AI tools, including obligations under FERPA, COPPA and state privacy statutes. The University of Florida’s AI governance guidance recommends that only authorised, non‑sensitive data be provided to models and that institutional review steers risk assessments before deployment. </w:t>
      </w:r>
      <w:hyperlink r:id="rId12">
        <w:r>
          <w:rPr>
            <w:color w:val="0000EE"/>
            <w:u w:val="single"/>
          </w:rPr>
          <w:t>[6]</w:t>
        </w:r>
      </w:hyperlink>
      <w:r>
        <w:t>,</w:t>
      </w:r>
      <w:hyperlink r:id="rId9">
        <w:r>
          <w:rPr>
            <w:color w:val="0000EE"/>
            <w:u w:val="single"/>
          </w:rPr>
          <w:t>[2]</w:t>
        </w:r>
      </w:hyperlink>
      <w:r/>
    </w:p>
    <w:p>
      <w:r/>
      <w:r>
        <w:t xml:space="preserve">Protecting pupil data must be non‑negotiable. The taskforce and privacy advocates call for explicit prohibitions on using personally identifiable student information to train commercial AI systems and for contractual safeguards that require vendors to treat school data as education records. Legislative proposals circulating in Tallahassee echo this approach by forbidding disclosures of identifiable data and mandating that any sharing be limited to de‑identified information. </w:t>
      </w:r>
      <w:hyperlink r:id="rId9">
        <w:r>
          <w:rPr>
            <w:color w:val="0000EE"/>
            <w:u w:val="single"/>
          </w:rPr>
          <w:t>[2]</w:t>
        </w:r>
      </w:hyperlink>
      <w:r>
        <w:t>,</w:t>
      </w:r>
      <w:hyperlink r:id="rId11">
        <w:r>
          <w:rPr>
            <w:color w:val="0000EE"/>
            <w:u w:val="single"/>
          </w:rPr>
          <w:t>[4]</w:t>
        </w:r>
      </w:hyperlink>
      <w:r/>
    </w:p>
    <w:p>
      <w:r/>
      <w:r>
        <w:t xml:space="preserve">Transparency and auditability should be contractual requirements for any AI platform operating in schools. Policy summaries propose that vendors keep auditable logs of interactions, implement mechanisms to detect accuracy errors, bias and safety risks, and provide school officials with tools to flag misuse and intervene. Institutional guidance also underscores the need to protect students with disabilities and to ensure AI does not inadvertently discriminate or replace due process in school decision‑making. </w:t>
      </w:r>
      <w:hyperlink r:id="rId9">
        <w:r>
          <w:rPr>
            <w:color w:val="0000EE"/>
            <w:u w:val="single"/>
          </w:rPr>
          <w:t>[2]</w:t>
        </w:r>
      </w:hyperlink>
      <w:r>
        <w:t>,</w:t>
      </w:r>
      <w:hyperlink r:id="rId12">
        <w:r>
          <w:rPr>
            <w:color w:val="0000EE"/>
            <w:u w:val="single"/>
          </w:rPr>
          <w:t>[6]</w:t>
        </w:r>
      </w:hyperlink>
      <w:r/>
    </w:p>
    <w:p>
      <w:r/>
      <w:r>
        <w:t xml:space="preserve">Regulating human‑like chatbots that mimic relationships with children is an urgent concern. Civic groups and recent legislative filings argue for strict age‑gating, parental consent and clear disclosure labels for companion‑style AI, warning that emotionally persuasive bots can foster isolation or circulate harmful advice without meaningful adult oversight. Separate bills introduced in the 2026 session would also bar AI from acting as a substitute for licensed mental‑health professionals and require human judgement in sensitive decisions. </w:t>
      </w:r>
      <w:hyperlink r:id="rId10">
        <w:r>
          <w:rPr>
            <w:color w:val="0000EE"/>
            <w:u w:val="single"/>
          </w:rPr>
          <w:t>[7]</w:t>
        </w:r>
      </w:hyperlink>
      <w:r>
        <w:t>,</w:t>
      </w:r>
      <w:hyperlink r:id="rId11">
        <w:r>
          <w:rPr>
            <w:color w:val="0000EE"/>
            <w:u w:val="single"/>
          </w:rPr>
          <w:t>[4]</w:t>
        </w:r>
      </w:hyperlink>
      <w:r>
        <w:t>,</w:t>
      </w:r>
      <w:hyperlink r:id="rId13">
        <w:r>
          <w:rPr>
            <w:color w:val="0000EE"/>
            <w:u w:val="single"/>
          </w:rPr>
          <w:t>[5]</w:t>
        </w:r>
      </w:hyperlink>
      <w:r/>
    </w:p>
    <w:p>
      <w:r/>
      <w:r>
        <w:t xml:space="preserve">Local districts are already shifting from blanket bans toward controlled classroom use, illustrating the need for statewide standards that support safe experimentation. Miami‑Dade County, for example, is drafting teacher guidelines and piloting vetted platforms for older students while establishing safety controls; the county plans to present concrete classroom policies later in 2025. Statelevel frameworks would allow such pilots to proceed under uniform protections and training requirements, reducing reliance on uneven local technical expertise. </w:t>
      </w:r>
      <w:hyperlink r:id="rId14">
        <w:r>
          <w:rPr>
            <w:color w:val="0000EE"/>
            <w:u w:val="single"/>
          </w:rPr>
          <w:t>[3]</w:t>
        </w:r>
      </w:hyperlink>
      <w:r>
        <w:t>,</w:t>
      </w:r>
      <w:hyperlink r:id="rId12">
        <w:r>
          <w:rPr>
            <w:color w:val="0000EE"/>
            <w:u w:val="single"/>
          </w:rPr>
          <w:t>[6]</w:t>
        </w:r>
      </w:hyperlink>
      <w:r/>
    </w:p>
    <w:p>
      <w:r/>
      <w:r>
        <w:t xml:space="preserve">If Florida adopts clear procurement rules, mandatory training for educators, robust data protections and strict limits on social, companion‑style AI for minors, the state can balance innovation with child safety. Policymakers and school leaders in Florida have a chance to create a model that preserves educational opportunity while guarding against exploitation and harm. </w:t>
      </w:r>
      <w:hyperlink r:id="rId9">
        <w:r>
          <w:rPr>
            <w:color w:val="0000EE"/>
            <w:u w:val="single"/>
          </w:rPr>
          <w:t>[2]</w:t>
        </w:r>
      </w:hyperlink>
      <w:r>
        <w:t>,</w:t>
      </w:r>
      <w:hyperlink r:id="rId11">
        <w:r>
          <w:rPr>
            <w:color w:val="0000EE"/>
            <w:u w:val="single"/>
          </w:rPr>
          <w:t>[4]</w:t>
        </w:r>
      </w:hyperlink>
      <w:r>
        <w:t>,</w:t>
      </w:r>
      <w:hyperlink r:id="rId10">
        <w:r>
          <w:rPr>
            <w:color w:val="0000EE"/>
            <w:u w:val="single"/>
          </w:rPr>
          <w:t>[7]</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[4]</w:t>
        </w:r>
      </w:hyperlink>
      <w:r>
        <w:t xml:space="preserve">, </w:t>
      </w:r>
      <w:hyperlink r:id="rId9">
        <w:r>
          <w:rPr>
            <w:color w:val="0000EE"/>
            <w:u w:val="single"/>
          </w:rPr>
          <w:t>[2]</w:t>
        </w:r>
      </w:hyperlink>
      <w:r>
        <w:t xml:space="preserve">- Paragraph 3: </w:t>
      </w:r>
      <w:hyperlink r:id="rId12">
        <w:r>
          <w:rPr>
            <w:color w:val="0000EE"/>
            <w:u w:val="single"/>
          </w:rPr>
          <w:t>[6]</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9">
        <w:r>
          <w:rPr>
            <w:color w:val="0000EE"/>
            <w:u w:val="single"/>
          </w:rPr>
          <w:t>[2]</w:t>
        </w:r>
      </w:hyperlink>
      <w:r>
        <w:t xml:space="preserve">, </w:t>
      </w:r>
      <w:hyperlink r:id="rId12">
        <w:r>
          <w:rPr>
            <w:color w:val="0000EE"/>
            <w:u w:val="single"/>
          </w:rPr>
          <w:t>[6]</w:t>
        </w:r>
      </w:hyperlink>
      <w:r>
        <w:t xml:space="preserve">- Paragraph 6: </w:t>
      </w:r>
      <w:hyperlink r:id="rId10">
        <w:r>
          <w:rPr>
            <w:color w:val="0000EE"/>
            <w:u w:val="single"/>
          </w:rPr>
          <w:t>[7]</w:t>
        </w:r>
      </w:hyperlink>
      <w:r>
        <w:t xml:space="preserve">, </w:t>
      </w:r>
      <w:hyperlink r:id="rId11">
        <w:r>
          <w:rPr>
            <w:color w:val="0000EE"/>
            <w:u w:val="single"/>
          </w:rPr>
          <w:t>[4]</w:t>
        </w:r>
      </w:hyperlink>
      <w:r>
        <w:t xml:space="preserve">, </w:t>
      </w:r>
      <w:hyperlink r:id="rId13">
        <w:r>
          <w:rPr>
            <w:color w:val="0000EE"/>
            <w:u w:val="single"/>
          </w:rPr>
          <w:t>[5]</w:t>
        </w:r>
      </w:hyperlink>
      <w:r>
        <w:t xml:space="preserve">- Paragraph 7: </w:t>
      </w:r>
      <w:hyperlink r:id="rId14">
        <w:r>
          <w:rPr>
            <w:color w:val="0000EE"/>
            <w:u w:val="single"/>
          </w:rPr>
          <w:t>[3]</w:t>
        </w:r>
      </w:hyperlink>
      <w:r>
        <w:t xml:space="preserve">, </w:t>
      </w:r>
      <w:hyperlink r:id="rId12">
        <w:r>
          <w:rPr>
            <w:color w:val="0000EE"/>
            <w:u w:val="single"/>
          </w:rPr>
          <w:t>[6]</w:t>
        </w:r>
      </w:hyperlink>
      <w:r>
        <w:t xml:space="preserve">- Paragraph 8: </w:t>
      </w:r>
      <w:hyperlink r:id="rId9">
        <w:r>
          <w:rPr>
            <w:color w:val="0000EE"/>
            <w:u w:val="single"/>
          </w:rPr>
          <w:t>[2]</w:t>
        </w:r>
      </w:hyperlink>
      <w:r>
        <w:t xml:space="preserve">, </w:t>
      </w:r>
      <w:hyperlink r:id="rId11">
        <w:r>
          <w:rPr>
            <w:color w:val="0000EE"/>
            <w:u w:val="single"/>
          </w:rPr>
          <w:t>[4]</w:t>
        </w:r>
      </w:hyperlink>
      <w:r>
        <w:t xml:space="preserve">, </w:t>
      </w:r>
      <w:hyperlink r:id="rId10">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https://floridapolitics.com/archives/777557-nathan-hoffman-why-florida-must-lead-on-ai-guardrails-for-students/</w:t>
        </w:r>
      </w:hyperlink>
      <w:r>
        <w:t xml:space="preserve"> - Please view link - unable to able to access data</w:t>
      </w:r>
      <w:r/>
    </w:p>
    <w:p>
      <w:pPr>
        <w:pStyle w:val="ListNumber"/>
        <w:spacing w:line="240" w:lineRule="auto"/>
        <w:ind w:left="720"/>
      </w:pPr>
      <w:r/>
      <w:hyperlink r:id="rId9">
        <w:r>
          <w:rPr>
            <w:color w:val="0000EE"/>
            <w:u w:val="single"/>
          </w:rPr>
          <w:t>https://fl-aitaskforce.org/executive-summary/policy-ethical-and-legal-considerations/</w:t>
        </w:r>
      </w:hyperlink>
      <w:r>
        <w:t xml:space="preserve"> - The Florida AI Taskforce's executive summary outlines policy, ethical, and legal considerations for K-12 schools in Florida. It discusses the Family Educational Rights and Privacy Act (FERPA), which protects student education records and mandates parental consent for releasing personally identifiable information. The Children's Online Privacy Protection Act (COPPA) imposes requirements on online services directed at children under 13, necessitating parental consent for data collection. The summary also covers Section 504, ensuring accessibility for students with disabilities, and addresses intellectual property concerns related to AI tools in educational settings. Additionally, it emphasizes the importance of due process and non-discrimination in AI applications within schools.</w:t>
      </w:r>
      <w:r/>
    </w:p>
    <w:p>
      <w:pPr>
        <w:pStyle w:val="ListNumber"/>
        <w:spacing w:line="240" w:lineRule="auto"/>
        <w:ind w:left="720"/>
      </w:pPr>
      <w:r/>
      <w:hyperlink r:id="rId14">
        <w:r>
          <w:rPr>
            <w:color w:val="0000EE"/>
            <w:u w:val="single"/>
          </w:rPr>
          <w:t>https://www.axios.com/local/miami/2025/08/12/miami-dade-public-schools-ai-guidelines-for-teachers</w:t>
        </w:r>
      </w:hyperlink>
      <w:r>
        <w:t xml:space="preserve"> - Miami-Dade County Public Schools is developing guidelines for integrating artificial intelligence (AI) into classrooms. The district plans to vote on a proposal directing staff to create AI usage guidelines for teachers, marking a shift from its previous stance of blocking AI tools like ChatGPT. Board member Roberto Alonso highlighted the immediacy of AI's presence in education, stating, 'AI is not coming, it's here.' The initiative includes providing high school students with access to Google's Gemini AI platform, with safety measures in place, and piloting programs for other grade levels. The district aims to present concrete AI classroom guidelines to the board by October 2025.</w:t>
      </w:r>
      <w:r/>
    </w:p>
    <w:p>
      <w:pPr>
        <w:pStyle w:val="ListNumber"/>
        <w:spacing w:line="240" w:lineRule="auto"/>
        <w:ind w:left="720"/>
      </w:pPr>
      <w:r/>
      <w:hyperlink r:id="rId11">
        <w:r>
          <w:rPr>
            <w:color w:val="0000EE"/>
            <w:u w:val="single"/>
          </w:rPr>
          <w:t>https://www.transparencycoalition.ai/news/ai-legislative-update-jan-9-2026</w:t>
        </w:r>
      </w:hyperlink>
      <w:r>
        <w:t xml:space="preserve"> - The Transparency Coalition's AI Legislative Update from January 9, 2026, discusses recent developments in AI legislation. In Florida, Governor Ron DeSantis endorsed a comprehensive AI Bill of Rights, filed by Senator Tom Leek in late December. The bill includes provisions such as prohibiting governmental entities from extending contracts with specified entities, creating the 'Artificial Intelligence Bill of Rights,' and requiring companion chatbot platforms to obtain parental consent before minors can create or maintain accounts. It also prohibits AI technology companies from selling or disclosing personal information unless it is de-identified data.</w:t>
      </w:r>
      <w:r/>
    </w:p>
    <w:p>
      <w:pPr>
        <w:pStyle w:val="ListNumber"/>
        <w:spacing w:line="240" w:lineRule="auto"/>
        <w:ind w:left="720"/>
      </w:pPr>
      <w:r/>
      <w:hyperlink r:id="rId13">
        <w:r>
          <w:rPr>
            <w:color w:val="0000EE"/>
            <w:u w:val="single"/>
          </w:rPr>
          <w:t>https://www.transparencycoalition.ai/news/ai-legislative-update-jan16-2026</w:t>
        </w:r>
      </w:hyperlink>
      <w:r>
        <w:t xml:space="preserve"> - The Transparency Coalition's AI Legislative Update from January 16, 2026, highlights new legislative developments in Florida. Senate Bill 344 and House Bill 281 aim to prohibit the use of artificial intelligence in the practice of psychology, clinical social work, marriage and family therapy, and mental health counseling. Senate Bill 202 would require that an insurer’s decision to approve or deny a claim be made by a qualified human professional, with AI not being used as the sole basis for decision-making. These legislative efforts reflect ongoing concerns about the ethical and professional standards of AI applications in sensitive areas.</w:t>
      </w:r>
      <w:r/>
    </w:p>
    <w:p>
      <w:pPr>
        <w:pStyle w:val="ListNumber"/>
        <w:spacing w:line="240" w:lineRule="auto"/>
        <w:ind w:left="720"/>
      </w:pPr>
      <w:r/>
      <w:hyperlink r:id="rId12">
        <w:r>
          <w:rPr>
            <w:color w:val="0000EE"/>
            <w:u w:val="single"/>
          </w:rPr>
          <w:t>https://privacy.ufl.edu/laws-and-regulations/ai-governance/</w:t>
        </w:r>
      </w:hyperlink>
      <w:r>
        <w:t xml:space="preserve"> - The University of Florida's AI Governance page provides guidelines on the responsible use of generative AI. It advises faculty, staff, and students to exercise caution when providing inputs to AI models, emphasizing that only publicly available data or data authorized by the university's Integrated Risk Management team should be used. The page highlights privacy and security risks associated with generative AI, including potential violations of intellectual property rights and the importance of compliance with relevant laws such as the Florida Information Protection Act (FIPA), Family Educational Rights and Privacy Act (FERPA), Health Insurance Portability and Accountability Act (HIPAA), and Children’s Online Privacy Protection Rule (COPPA).</w:t>
      </w:r>
      <w:r/>
    </w:p>
    <w:p>
      <w:pPr>
        <w:pStyle w:val="ListNumber"/>
        <w:spacing w:line="240" w:lineRule="auto"/>
        <w:ind w:left="720"/>
      </w:pPr>
      <w:r/>
      <w:hyperlink r:id="rId10">
        <w:r>
          <w:rPr>
            <w:color w:val="0000EE"/>
            <w:u w:val="single"/>
          </w:rPr>
          <w:t>https://goflca.org/lawmakers-urged-to-protect-minors-by-creating-guardrails-for-a-i/</w:t>
        </w:r>
      </w:hyperlink>
      <w:r>
        <w:t xml:space="preserve"> - The Florida Citizens Alliance urges lawmakers to establish strong, enforceable safeguards for artificial intelligence (AI) use by minors. Their policy framework includes requiring parental opt-in for AI use in schools, protecting student data from being shared outside the school district, ensuring AI vendors comply with Florida state standards, and restricting AI chatbots from simulating human-like emotional relationships with children. The organization supports several bills filed in the 2026 legislative session, including SB 344 and HB 281, which aim to prohibit the use of AI in psychological or counseling settings where licensed professionals are required.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l-aitaskforce.org/executive-summary/policy-ethical-and-legal-considerations/" TargetMode="External"/><Relationship Id="rId10" Type="http://schemas.openxmlformats.org/officeDocument/2006/relationships/hyperlink" Target="https://goflca.org/lawmakers-urged-to-protect-minors-by-creating-guardrails-for-a-i/" TargetMode="External"/><Relationship Id="rId11" Type="http://schemas.openxmlformats.org/officeDocument/2006/relationships/hyperlink" Target="https://www.transparencycoalition.ai/news/ai-legislative-update-jan-9-2026" TargetMode="External"/><Relationship Id="rId12" Type="http://schemas.openxmlformats.org/officeDocument/2006/relationships/hyperlink" Target="https://privacy.ufl.edu/laws-and-regulations/ai-governance/" TargetMode="External"/><Relationship Id="rId13" Type="http://schemas.openxmlformats.org/officeDocument/2006/relationships/hyperlink" Target="https://www.transparencycoalition.ai/news/ai-legislative-update-jan16-2026" TargetMode="External"/><Relationship Id="rId14" Type="http://schemas.openxmlformats.org/officeDocument/2006/relationships/hyperlink" Target="https://www.axios.com/local/miami/2025/08/12/miami-dade-public-schools-ai-guidelines-for-teachers" TargetMode="External"/><Relationship Id="rId15" Type="http://schemas.openxmlformats.org/officeDocument/2006/relationships/hyperlink" Target="https://floridapolitics.com/archives/777557-nathan-hoffman-why-florida-must-lead-on-ai-guardrails-for-stud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