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York advances comprehensive AI regulations to set national standard amid industry opposition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New York has moved from debate to decisive action in its effort to govern artificial intelligence, advancing proposals and enacting measures that position the state as a national testbed for stringent oversight of AI developers and deployers. According to reporting by WebProNews, legislators in Albany pushed two complementary bills aimed at forcing greater openness about automated decision-making and curbing the unchecked use of personal data to train models. </w:t>
      </w:r>
      <w:hyperlink r:id="rId9">
        <w:r>
          <w:rPr>
            <w:color w:val="0000EE"/>
            <w:u w:val="single"/>
          </w:rPr>
          <w:t>[2]</w:t>
        </w:r>
      </w:hyperlink>
      <w:r>
        <w:t>,</w:t>
      </w:r>
      <w:hyperlink r:id="rId10">
        <w:r>
          <w:rPr>
            <w:color w:val="0000EE"/>
            <w:u w:val="single"/>
          </w:rPr>
          <w:t>[7]</w:t>
        </w:r>
      </w:hyperlink>
      <w:r/>
    </w:p>
    <w:p>
      <w:r/>
      <w:r>
        <w:t xml:space="preserve">The first legislative strand targets systems that produce consequential outcomes for residents , such as hiring, lending, housing and health decisions , by requiring disclosure when automated tools are in play, mandating assessments of their social impacts and creating avenues for individuals to contest algorithmic outcomes. WebProNews characterised these obligations as among the toughest state-level transparency rules proposed in the United States. </w:t>
      </w:r>
      <w:hyperlink r:id="rId10">
        <w:r>
          <w:rPr>
            <w:color w:val="0000EE"/>
            <w:u w:val="single"/>
          </w:rPr>
          <w:t>[7]</w:t>
        </w:r>
      </w:hyperlink>
      <w:r>
        <w:t>,</w:t>
      </w:r>
      <w:hyperlink r:id="rId9">
        <w:r>
          <w:rPr>
            <w:color w:val="0000EE"/>
            <w:u w:val="single"/>
          </w:rPr>
          <w:t>[2]</w:t>
        </w:r>
      </w:hyperlink>
      <w:r/>
    </w:p>
    <w:p>
      <w:r/>
      <w:r>
        <w:t xml:space="preserve">A companion bill focuses on the data inputs that power modern AI, giving New Yorkers expanded rights over how their information is collected and repurposed for model training. The draft measures would require meaningful consent for the use of personal data in training datasets and grant opt-out mechanisms, mirroring elements of European privacy frameworks and signalling New York’s intent to regulate the AI supply chain rather than only its outputs. WebProNews and budget documents note this data-centred approach aligns with recent state investments to steer AI growth responsibly. </w:t>
      </w:r>
      <w:hyperlink r:id="rId10">
        <w:r>
          <w:rPr>
            <w:color w:val="0000EE"/>
            <w:u w:val="single"/>
          </w:rPr>
          <w:t>[7]</w:t>
        </w:r>
      </w:hyperlink>
      <w:r>
        <w:t>,</w:t>
      </w:r>
      <w:hyperlink r:id="rId11">
        <w:r>
          <w:rPr>
            <w:color w:val="0000EE"/>
            <w:u w:val="single"/>
          </w:rPr>
          <w:t>[4]</w:t>
        </w:r>
      </w:hyperlink>
      <w:r/>
    </w:p>
    <w:p>
      <w:r/>
      <w:r>
        <w:t xml:space="preserve">Industry groups have responded with vigorous opposition, warning that state-specific mandates risk fragmenting the regulatory landscape and hampering innovation. Proponents counter that waiting for a federal regime would leave harmful practices unchecked; New York’s sponsors cited California’s privacy laws as precedent for state rules becoming de facto national standards. This tension between innovation and protection has driven the intense lobbying observed around the bills. WebProNews reported on the lobbying pushback while the Attorney General’s later multistate actions underscore the political stakes. </w:t>
      </w:r>
      <w:hyperlink r:id="rId10">
        <w:r>
          <w:rPr>
            <w:color w:val="0000EE"/>
            <w:u w:val="single"/>
          </w:rPr>
          <w:t>[7]</w:t>
        </w:r>
      </w:hyperlink>
      <w:r>
        <w:t>,</w:t>
      </w:r>
      <w:hyperlink r:id="rId12">
        <w:r>
          <w:rPr>
            <w:color w:val="0000EE"/>
            <w:u w:val="single"/>
          </w:rPr>
          <w:t>[3]</w:t>
        </w:r>
      </w:hyperlink>
      <w:r/>
    </w:p>
    <w:p>
      <w:r/>
      <w:r>
        <w:t xml:space="preserve">Beyond the legislature, the Hochul administration and state agencies have already taken executive steps to limit specific AI risks. In February 2025 Governor Kathy Hochul barred the DeepSeek application from state devices amid concerns about foreign surveillance and data harvesting, and the FY 2026 budget expanded the Empire AI Consortium while allocating $90 million to boost compute for research alongside child-protection safeguards for AI companions. These moves indicate a blend of prohibition, investment and rulemaking at the state level. WebProNews and official state releases document these policy actions. </w:t>
      </w:r>
      <w:hyperlink r:id="rId13">
        <w:r>
          <w:rPr>
            <w:color w:val="0000EE"/>
            <w:u w:val="single"/>
          </w:rPr>
          <w:t>[6]</w:t>
        </w:r>
      </w:hyperlink>
      <w:r>
        <w:t>,</w:t>
      </w:r>
      <w:hyperlink r:id="rId11">
        <w:r>
          <w:rPr>
            <w:color w:val="0000EE"/>
            <w:u w:val="single"/>
          </w:rPr>
          <w:t>[4]</w:t>
        </w:r>
      </w:hyperlink>
      <w:r/>
    </w:p>
    <w:p>
      <w:r/>
      <w:r>
        <w:t xml:space="preserve">New York’s regulatory trajectory became concrete in late 2025 with the enactment of the RAISE Act, which requires major AI developers to publish safety protocols and to report incidents within 72 hours, while creating an oversight office inside the Department of Financial Services to monitor frontier systems and publish annual assessments. The law’s combination of reporting duties and institutional review represents a significant shift from voluntary industry practices toward enforceable obligations. The Department of Financial Services described the new framework in its December 22, 2025 press release. </w:t>
      </w:r>
      <w:hyperlink r:id="rId9">
        <w:r>
          <w:rPr>
            <w:color w:val="0000EE"/>
            <w:u w:val="single"/>
          </w:rPr>
          <w:t>[2]</w:t>
        </w:r>
      </w:hyperlink>
      <w:r/>
    </w:p>
    <w:p>
      <w:r/>
      <w:r>
        <w:t xml:space="preserve">State officials have also targeted consumer-facing AI services. Governor Hochul announced that safeguards for AI companions are in force, obliging operators to implement crisis-intervention measures and to notify users who engage for prolonged periods, with enforcement levers vested in the Attorney General’s office. Separately, New York’s attorney general led a bipartisan coalition urging Congress not to preempt state authority over AI, arguing that federal bars on state rules would imperil children, public health and national security. These combined steps reveal coordination across executive and legal channels to defend state-level authority. State announcements and the attorney general’s statement provide the official record. </w:t>
      </w:r>
      <w:hyperlink r:id="rId14">
        <w:r>
          <w:rPr>
            <w:color w:val="0000EE"/>
            <w:u w:val="single"/>
          </w:rPr>
          <w:t>[5]</w:t>
        </w:r>
      </w:hyperlink>
      <w:r>
        <w:t>,</w:t>
      </w:r>
      <w:hyperlink r:id="rId12">
        <w:r>
          <w:rPr>
            <w:color w:val="0000EE"/>
            <w:u w:val="single"/>
          </w:rPr>
          <w:t>[3]</w:t>
        </w:r>
      </w:hyperlink>
      <w:r/>
    </w:p>
    <w:p>
      <w:r/>
      <w:r>
        <w:t xml:space="preserve">Whether Albany’s package will become the template for the nation depends on political dynamics, legal contests and industry adaptation. Supporters argue the state’s economic scale and sectoral reach give its rules outsized influence; critics fear patchwork regulation. What is already clear is that New York has shifted from signalling concern to building an enforcement architecture that treats AI governance as a regulatory priority rather than a matter for voluntary codes. Reporting and state documents trace that evolution and the concrete statutes and directives that now shape the landscape. </w:t>
      </w:r>
      <w:hyperlink r:id="rId10">
        <w:r>
          <w:rPr>
            <w:color w:val="0000EE"/>
            <w:u w:val="single"/>
          </w:rPr>
          <w:t>[7]</w:t>
        </w:r>
      </w:hyperlink>
      <w:r>
        <w:t>,</w:t>
      </w:r>
      <w:hyperlink r:id="rId9">
        <w:r>
          <w:rPr>
            <w:color w:val="0000EE"/>
            <w:u w:val="single"/>
          </w:rPr>
          <w:t>[2]</w:t>
        </w:r>
      </w:hyperlink>
      <w:r/>
    </w:p>
    <w:p>
      <w:pPr>
        <w:pStyle w:val="Heading3"/>
      </w:pPr>
      <w:r>
        <w:t>Source Reference Map</w:t>
      </w:r>
      <w:r/>
    </w:p>
    <w:p>
      <w:r/>
      <w:r>
        <w:rPr>
          <w:b/>
        </w:rPr>
        <w:t>Inspired by headline at:</w:t>
      </w:r>
      <w:r>
        <w:t xml:space="preserve"> </w:t>
      </w:r>
      <w:hyperlink r:id="rId10">
        <w:r>
          <w:rPr>
            <w:color w:val="0000EE"/>
            <w:u w:val="single"/>
          </w:rPr>
          <w:t>[1]</w:t>
        </w:r>
      </w:hyperlink>
      <w:r/>
    </w:p>
    <w:p>
      <w:r/>
      <w:r>
        <w:rPr>
          <w:b/>
        </w:rPr>
        <w:t>Sources by paragraph:</w:t>
      </w:r>
      <w:r>
        <w:t xml:space="preserve">- Paragraph 1: </w:t>
      </w:r>
      <w:hyperlink r:id="rId10">
        <w:r>
          <w:rPr>
            <w:color w:val="0000EE"/>
            <w:u w:val="single"/>
          </w:rPr>
          <w:t>[7]</w:t>
        </w:r>
      </w:hyperlink>
      <w:r>
        <w:t>,</w:t>
      </w:r>
      <w:hyperlink r:id="rId9">
        <w:r>
          <w:rPr>
            <w:color w:val="0000EE"/>
            <w:u w:val="single"/>
          </w:rPr>
          <w:t>[2]</w:t>
        </w:r>
      </w:hyperlink>
      <w:r>
        <w:t xml:space="preserve">- Paragraph 2: </w:t>
      </w:r>
      <w:hyperlink r:id="rId10">
        <w:r>
          <w:rPr>
            <w:color w:val="0000EE"/>
            <w:u w:val="single"/>
          </w:rPr>
          <w:t>[7]</w:t>
        </w:r>
      </w:hyperlink>
      <w:r>
        <w:t>,</w:t>
      </w:r>
      <w:hyperlink r:id="rId9">
        <w:r>
          <w:rPr>
            <w:color w:val="0000EE"/>
            <w:u w:val="single"/>
          </w:rPr>
          <w:t>[2]</w:t>
        </w:r>
      </w:hyperlink>
      <w:r>
        <w:t xml:space="preserve">- Paragraph 3: </w:t>
      </w:r>
      <w:hyperlink r:id="rId10">
        <w:r>
          <w:rPr>
            <w:color w:val="0000EE"/>
            <w:u w:val="single"/>
          </w:rPr>
          <w:t>[7]</w:t>
        </w:r>
      </w:hyperlink>
      <w:r>
        <w:t>,</w:t>
      </w:r>
      <w:hyperlink r:id="rId11">
        <w:r>
          <w:rPr>
            <w:color w:val="0000EE"/>
            <w:u w:val="single"/>
          </w:rPr>
          <w:t>[4]</w:t>
        </w:r>
      </w:hyperlink>
      <w:r>
        <w:t xml:space="preserve">- Paragraph 4: </w:t>
      </w:r>
      <w:hyperlink r:id="rId10">
        <w:r>
          <w:rPr>
            <w:color w:val="0000EE"/>
            <w:u w:val="single"/>
          </w:rPr>
          <w:t>[7]</w:t>
        </w:r>
      </w:hyperlink>
      <w:r>
        <w:t>,</w:t>
      </w:r>
      <w:hyperlink r:id="rId12">
        <w:r>
          <w:rPr>
            <w:color w:val="0000EE"/>
            <w:u w:val="single"/>
          </w:rPr>
          <w:t>[3]</w:t>
        </w:r>
      </w:hyperlink>
      <w:r>
        <w:t xml:space="preserve">- Paragraph 5: </w:t>
      </w:r>
      <w:hyperlink r:id="rId13">
        <w:r>
          <w:rPr>
            <w:color w:val="0000EE"/>
            <w:u w:val="single"/>
          </w:rPr>
          <w:t>[6]</w:t>
        </w:r>
      </w:hyperlink>
      <w:r>
        <w:t>,</w:t>
      </w:r>
      <w:hyperlink r:id="rId11">
        <w:r>
          <w:rPr>
            <w:color w:val="0000EE"/>
            <w:u w:val="single"/>
          </w:rPr>
          <w:t>[4]</w:t>
        </w:r>
      </w:hyperlink>
      <w:r>
        <w:t xml:space="preserve">- Paragraph 6: </w:t>
      </w:r>
      <w:hyperlink r:id="rId9">
        <w:r>
          <w:rPr>
            <w:color w:val="0000EE"/>
            <w:u w:val="single"/>
          </w:rPr>
          <w:t>[2]</w:t>
        </w:r>
      </w:hyperlink>
      <w:r>
        <w:t xml:space="preserve">- Paragraph 7: </w:t>
      </w:r>
      <w:hyperlink r:id="rId14">
        <w:r>
          <w:rPr>
            <w:color w:val="0000EE"/>
            <w:u w:val="single"/>
          </w:rPr>
          <w:t>[5]</w:t>
        </w:r>
      </w:hyperlink>
      <w:r>
        <w:t>,</w:t>
      </w:r>
      <w:hyperlink r:id="rId12">
        <w:r>
          <w:rPr>
            <w:color w:val="0000EE"/>
            <w:u w:val="single"/>
          </w:rPr>
          <w:t>[3]</w:t>
        </w:r>
      </w:hyperlink>
      <w:r>
        <w:t xml:space="preserve">- Paragraph 8: </w:t>
      </w:r>
      <w:hyperlink r:id="rId10">
        <w:r>
          <w:rPr>
            <w:color w:val="0000EE"/>
            <w:u w:val="single"/>
          </w:rPr>
          <w:t>[7]</w:t>
        </w:r>
      </w:hyperlink>
      <w:r>
        <w:t>,</w:t>
      </w:r>
      <w:hyperlink r:id="rId9">
        <w:r>
          <w:rPr>
            <w:color w:val="0000EE"/>
            <w:u w:val="single"/>
          </w:rPr>
          <w:t>[2]</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https://www.webpronews.com/albanys-ai-reckoning-inside-new-yorks-ambitious-bid-to-become-americas-toughest-regulator-of-artificial-intelligence/</w:t>
        </w:r>
      </w:hyperlink>
      <w:r>
        <w:t xml:space="preserve"> - Please view link - unable to able to access data</w:t>
      </w:r>
      <w:r/>
    </w:p>
    <w:p>
      <w:pPr>
        <w:pStyle w:val="ListNumber"/>
        <w:spacing w:line="240" w:lineRule="auto"/>
        <w:ind w:left="720"/>
      </w:pPr>
      <w:r/>
      <w:hyperlink r:id="rId9">
        <w:r>
          <w:rPr>
            <w:color w:val="0000EE"/>
            <w:u w:val="single"/>
          </w:rPr>
          <w:t>https://www.dfs.ny.gov/reports_and_publications/press_releases/pr20251222</w:t>
        </w:r>
      </w:hyperlink>
      <w:r>
        <w:t xml:space="preserve"> - On December 22, 2025, Governor Kathy Hochul signed the RAISE Act into law, requiring large AI developers to create and publish safety protocols and report incidents within 72 hours. The act also established an oversight office within the Department of Financial Services to assess large frontier developers and ensure greater transparency, with annual reports to be issued.</w:t>
      </w:r>
      <w:r/>
    </w:p>
    <w:p>
      <w:pPr>
        <w:pStyle w:val="ListNumber"/>
        <w:spacing w:line="240" w:lineRule="auto"/>
        <w:ind w:left="720"/>
      </w:pPr>
      <w:r/>
      <w:hyperlink r:id="rId12">
        <w:r>
          <w:rPr>
            <w:color w:val="0000EE"/>
            <w:u w:val="single"/>
          </w:rPr>
          <w:t>https://ag.ny.gov/press-release/2025/attorney-general-james-leads-bipartisan-coalition-urging-congress-reject</w:t>
        </w:r>
      </w:hyperlink>
      <w:r>
        <w:t xml:space="preserve"> - On November 25, 2025, New York Attorney General Letitia James led a bipartisan coalition of 36 attorneys general in urging Congress to reject language in the National Defense Authorization Act that would prevent states from regulating artificial intelligence. The coalition argued that blocking state regulation poses risks to children, public health, the economy, and national security.</w:t>
      </w:r>
      <w:r/>
    </w:p>
    <w:p>
      <w:pPr>
        <w:pStyle w:val="ListNumber"/>
        <w:spacing w:line="240" w:lineRule="auto"/>
        <w:ind w:left="720"/>
      </w:pPr>
      <w:r/>
      <w:hyperlink r:id="rId11">
        <w:r>
          <w:rPr>
            <w:color w:val="0000EE"/>
            <w:u w:val="single"/>
          </w:rPr>
          <w:t>https://www.budget.ny.gov/pubs/press/2025/fy26-enacted-budget-ai.html</w:t>
        </w:r>
      </w:hyperlink>
      <w:r>
        <w:t xml:space="preserve"> - On May 9, 2025, Governor Kathy Hochul signed legislation expanding the Empire AI Consortium and establishing AI protections for responsible growth as part of the FY 2026 Budget. The legislation includes a $90 million investment to increase computing power for AI research and establishes safety features for AI companions to protect children from predatory online activity.</w:t>
      </w:r>
      <w:r/>
    </w:p>
    <w:p>
      <w:pPr>
        <w:pStyle w:val="ListNumber"/>
        <w:spacing w:line="240" w:lineRule="auto"/>
        <w:ind w:left="720"/>
      </w:pPr>
      <w:r/>
      <w:hyperlink r:id="rId14">
        <w:r>
          <w:rPr>
            <w:color w:val="0000EE"/>
            <w:u w:val="single"/>
          </w:rPr>
          <w:t>https://www.governor.ny.gov/news/governor-hochul-pens-letter-ai-companion-companies-notifying-them-safeguard-requirements-are</w:t>
        </w:r>
      </w:hyperlink>
      <w:r>
        <w:t xml:space="preserve"> - On November 10, 2025, Governor Kathy Hochul announced that safeguards for AI companions operating in New York are now in effect. The law requires AI companion operators to implement safety protocols for crisis intervention and provide notifications to users engaging for sustained periods, with penalties for non-compliance enforced by the New York Attorney General.</w:t>
      </w:r>
      <w:r/>
    </w:p>
    <w:p>
      <w:pPr>
        <w:pStyle w:val="ListNumber"/>
        <w:spacing w:line="240" w:lineRule="auto"/>
        <w:ind w:left="720"/>
      </w:pPr>
      <w:r/>
      <w:hyperlink r:id="rId13">
        <w:r>
          <w:rPr>
            <w:color w:val="0000EE"/>
            <w:u w:val="single"/>
          </w:rPr>
          <w:t>https://its.ny.gov/press-release/governor-hochul-issues-statewide-ban-deepseek-artificial-intelligence-government-devices-and</w:t>
        </w:r>
      </w:hyperlink>
      <w:r>
        <w:t xml:space="preserve"> - On February 10, 2025, Governor Kathy Hochul announced a statewide ban prohibiting the DeepSeek Artificial Intelligence application from being downloaded on government devices and networks. The ban addresses concerns over DeepSeek AI's connection to foreign government surveillance and censorship, including potential user data harvesting and technology theft.</w:t>
      </w:r>
      <w:r/>
    </w:p>
    <w:p>
      <w:pPr>
        <w:pStyle w:val="ListNumber"/>
        <w:spacing w:line="240" w:lineRule="auto"/>
        <w:ind w:left="720"/>
      </w:pPr>
      <w:r/>
      <w:hyperlink r:id="rId10">
        <w:r>
          <w:rPr>
            <w:color w:val="0000EE"/>
            <w:u w:val="single"/>
          </w:rPr>
          <w:t>https://www.webpronews.com/albanys-ai-reckoning-inside-new-yorks-ambitious-bid-to-become-americas-toughest-regulator-of-artificial-intelligence/</w:t>
        </w:r>
      </w:hyperlink>
      <w:r>
        <w:t xml:space="preserve"> - This article discusses New York State's legislative efforts to regulate artificial intelligence, including two bills requiring transparency and accountability from AI companies and giving consumers greater control over their personal data. The legislation aims to create one of the most comprehensive AI regulatory regimes in the nation, imposing disclosure requirements, impact assessments, and enforcement mechanisms with significant financial penalties for violations.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fs.ny.gov/reports_and_publications/press_releases/pr20251222" TargetMode="External"/><Relationship Id="rId10" Type="http://schemas.openxmlformats.org/officeDocument/2006/relationships/hyperlink" Target="https://www.webpronews.com/albanys-ai-reckoning-inside-new-yorks-ambitious-bid-to-become-americas-toughest-regulator-of-artificial-intelligence/" TargetMode="External"/><Relationship Id="rId11" Type="http://schemas.openxmlformats.org/officeDocument/2006/relationships/hyperlink" Target="https://www.budget.ny.gov/pubs/press/2025/fy26-enacted-budget-ai.html" TargetMode="External"/><Relationship Id="rId12" Type="http://schemas.openxmlformats.org/officeDocument/2006/relationships/hyperlink" Target="https://ag.ny.gov/press-release/2025/attorney-general-james-leads-bipartisan-coalition-urging-congress-reject" TargetMode="External"/><Relationship Id="rId13" Type="http://schemas.openxmlformats.org/officeDocument/2006/relationships/hyperlink" Target="https://its.ny.gov/press-release/governor-hochul-issues-statewide-ban-deepseek-artificial-intelligence-government-devices-and" TargetMode="External"/><Relationship Id="rId14" Type="http://schemas.openxmlformats.org/officeDocument/2006/relationships/hyperlink" Target="https://www.governor.ny.gov/news/governor-hochul-pens-letter-ai-companion-companies-notifying-them-safeguard-requirements-ar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