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EU’s AI regulation transforms employer responsibilities in automated decision-making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EU's artificial intelligence regulation represents a fundamental change in how organisations must treat automated decision-making. Lawmakers have adopted a tiered, risk-based model that forbids a narrow set of applications judged to be inherently harmful and places demanding obligations on systems deemed high risk, while lighter transparency duties apply to lower-risk tools, according to the European Parliament and the European Commission. This architecture aims to protect safety and fundamental rights without extinguishing innovation. </w:t>
      </w:r>
      <w:r/>
    </w:p>
    <w:p>
      <w:r/>
      <w:r>
        <w:t xml:space="preserve">For employers, the new regime is immediately practical rather than academic. Tools used across hiring and personnel management , from résumé screening and candidate shortlisting to performance evaluation, monitoring and workforce analytics , sit squarely in the high-risk category in regulatory guidance and compliance briefs, making them subject to stricter governance, documentation and fairness checks than before. That means human-resources teams cannot treat compliance as a paperwork afterthought. </w:t>
      </w:r>
      <w:r/>
    </w:p>
    <w:p>
      <w:r/>
      <w:r>
        <w:t xml:space="preserve">Assessing and mitigating the harms of those systems demands more than technical patchwork. Recent methodological work proposes structured human-rights impact assessments and gate-based review processes to reveal how an AI system may affect individuals and to guide remediation. These approaches underline the difficulty of deciding what qualifies as high risk and stress iterative assessment across a system’s lifecycle. </w:t>
      </w:r>
      <w:r/>
    </w:p>
    <w:p>
      <w:r/>
      <w:r>
        <w:t xml:space="preserve">A practical step many organisations will need to take is to build an authoritative inventory of AI use across the business. Research into metadata standards for AI catalogues argues that machine-readable, interoperable registries improve transparency, traceability and accountability by surfacing where models are deployed, the data they use and their intended purposes , a capability that will simplify audits and regulatory reporting. </w:t>
      </w:r>
      <w:r/>
    </w:p>
    <w:p>
      <w:r/>
      <w:r>
        <w:t xml:space="preserve">Regulatory texts and practitioner guides converge on what compliance looks like in operation: robust risk-management processes, strong data governance, demonstrable bias mitigation, and mechanisms that allow affected individuals to understand and challenge significant decisions. Industry advice emphasises that explainability must be intelligible to non-specialists; organisations should be able to set out, in plain language, why a particular automated decision was reached and who is responsible for it. </w:t>
      </w:r>
      <w:r/>
    </w:p>
    <w:p>
      <w:r/>
      <w:r>
        <w:t xml:space="preserve">The EU has also provided softer instruments to help bring providers into line. The General-Purpose AI Code of Practice published last year offers non-binding operational guidance for makers of foundational models, and regulators have indicated that adherence to the Code may be taken as evidence of compliance with specific statutory duties. Meanwhile, companies operating across the EMEA region face additional complexity from conflicting local labour rules, data-protection regimes and cultural expectations that complicate any single, centralised compliance playbook. </w:t>
      </w:r>
      <w:r/>
    </w:p>
    <w:p>
      <w:r/>
      <w:r>
        <w:t xml:space="preserve">For many employers the immediate priority will be organisational: patching visibility gaps caused by fragmented procurement and ad hoc tool adoption, strengthening cross-functional governance between HR, legal, IT and procurement, and upskilling staff to assess model risk and respond to challenges from employees, unions and regulators. Where explainability and accountability cannot be provided to an acceptable standard, firms may need to pause or redesign systems rather than await enforcement. Practical frameworks developed for rights-focused impact assessments can help structure this work and provide defensible records of diligence.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Paragraph 4: </w:t>
      </w:r>
      <w:hyperlink r:id="rId14">
        <w:r>
          <w:rPr>
            <w:color w:val="0000EE"/>
            <w:u w:val="single"/>
          </w:rPr>
          <w:t>[6]</w:t>
        </w:r>
      </w:hyperlink>
      <w:r>
        <w:t xml:space="preserve">- Paragraph 5: </w:t>
      </w:r>
      <w:hyperlink r:id="rId12">
        <w:r>
          <w:rPr>
            <w:color w:val="0000EE"/>
            <w:u w:val="single"/>
          </w:rPr>
          <w:t>[5]</w:t>
        </w:r>
      </w:hyperlink>
      <w:r>
        <w:t xml:space="preserve">, </w:t>
      </w:r>
      <w:hyperlink r:id="rId10">
        <w:r>
          <w:rPr>
            <w:color w:val="0000EE"/>
            <w:u w:val="single"/>
          </w:rPr>
          <w:t>[2]</w:t>
        </w:r>
      </w:hyperlink>
      <w:r>
        <w:t xml:space="preserve">- Paragraph 6: </w:t>
      </w:r>
      <w:hyperlink r:id="rId15">
        <w:r>
          <w:rPr>
            <w:color w:val="0000EE"/>
            <w:u w:val="single"/>
          </w:rPr>
          <w:t>[7]</w:t>
        </w:r>
      </w:hyperlink>
      <w:r>
        <w:t xml:space="preserve">, </w:t>
      </w:r>
      <w:hyperlink r:id="rId11">
        <w:r>
          <w:rPr>
            <w:color w:val="0000EE"/>
            <w:u w:val="single"/>
          </w:rPr>
          <w:t>[3]</w:t>
        </w:r>
      </w:hyperlink>
      <w:r>
        <w:t xml:space="preserve">- Paragraph 7: </w:t>
      </w:r>
      <w:hyperlink r:id="rId12">
        <w:r>
          <w:rPr>
            <w:color w:val="0000EE"/>
            <w:u w:val="single"/>
          </w:rPr>
          <w:t>[5]</w:t>
        </w:r>
      </w:hyperlink>
      <w:r>
        <w:t xml:space="preserve">, </w:t>
      </w:r>
      <w:hyperlink r:id="rId13">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https://thegamingboardroom.com/2026/02/10/the-eu-ai-act-what-it-really-means-for-organisations-on-the-ground/</w:t>
        </w:r>
      </w:hyperlink>
      <w:r>
        <w:t xml:space="preserve"> - Please view link - unable to able to access data</w:t>
      </w:r>
      <w:r/>
    </w:p>
    <w:p>
      <w:pPr>
        <w:pStyle w:val="ListNumber"/>
        <w:spacing w:line="240" w:lineRule="auto"/>
        <w:ind w:left="720"/>
      </w:pPr>
      <w:r/>
      <w:hyperlink r:id="rId10">
        <w:r>
          <w:rPr>
            <w:color w:val="0000EE"/>
            <w:u w:val="single"/>
          </w:rPr>
          <w:t>https://www.europarl.europa.eu/topics/en/article/20230601STO93804/eu-ai</w:t>
        </w:r>
      </w:hyperlink>
      <w:r>
        <w:t xml:space="preserve"> - The European Parliament's article discusses the EU AI Act, the first comprehensive regulation on artificial intelligence in Europe. It outlines the risk-based classification system, categorising AI systems into unacceptable, high, limited, and minimal risk levels. The Act prohibits certain AI applications deemed to pose clear threats to safety and fundamental rights, such as social scoring and real-time biometric identification in public spaces. High-risk AI systems, including those used in critical infrastructure and education, are subject to stringent obligations, including risk management, data governance, and transparency requirements. The article emphasises the importance of human oversight and compliance to ensure AI systems are safe, transparent, and non-discriminatory.</w:t>
      </w:r>
      <w:r/>
    </w:p>
    <w:p>
      <w:pPr>
        <w:pStyle w:val="ListNumber"/>
        <w:spacing w:line="240" w:lineRule="auto"/>
        <w:ind w:left="720"/>
      </w:pPr>
      <w:r/>
      <w:hyperlink r:id="rId11">
        <w:r>
          <w:rPr>
            <w:color w:val="0000EE"/>
            <w:u w:val="single"/>
          </w:rPr>
          <w:t>https://digital-strategy.ec.europa.eu/en/policies/regulatory-framework-ai</w:t>
        </w:r>
      </w:hyperlink>
      <w:r>
        <w:t xml:space="preserve"> - The European Commission's page on the AI Act provides an overview of the regulation's risk-based approach, defining four levels of risk: unacceptable, high, limited, and minimal. It details the prohibitions on AI systems considered a clear threat to safety and rights, such as harmful AI-based manipulation and social scoring. High-risk AI systems, including those used in critical infrastructure and education, must comply with requirements like risk management, data governance, and transparency. The Act also introduces transparency obligations for limited-risk AI systems, ensuring users are informed when interacting with AI. The page highlights the Act's aim to support AI innovation while ensuring safety and trust.</w:t>
      </w:r>
      <w:r/>
    </w:p>
    <w:p>
      <w:pPr>
        <w:pStyle w:val="ListNumber"/>
        <w:spacing w:line="240" w:lineRule="auto"/>
        <w:ind w:left="720"/>
      </w:pPr>
      <w:r/>
      <w:hyperlink r:id="rId13">
        <w:r>
          <w:rPr>
            <w:color w:val="0000EE"/>
            <w:u w:val="single"/>
          </w:rPr>
          <w:t>https://arxiv.org/abs/2503.18994</w:t>
        </w:r>
      </w:hyperlink>
      <w:r>
        <w:t xml:space="preserve"> - The paper introduces the HH4AI Methodology, a structured approach to assessing the impact of AI systems on human rights, focusing on compliance with the EU AI Act. It addresses challenges in defining and assessing 'high-risk' AI systems across industries, complicated by the lack of universally accepted standards and AI's rapid evolution. The methodology proposes a Fundamental Rights Impact Assessment (FRIA), a gate-based framework designed to isolate and assess risks through phases including an AI system overview, a human rights checklist, an impact assessment, and a final output phase. The paper illustrates the FRIA methodology through a fictional case study of an automated healthcare triage service, promoting better alignment with human rights principles and enhancing regulatory compliance.</w:t>
      </w:r>
      <w:r/>
    </w:p>
    <w:p>
      <w:pPr>
        <w:pStyle w:val="ListNumber"/>
        <w:spacing w:line="240" w:lineRule="auto"/>
        <w:ind w:left="720"/>
      </w:pPr>
      <w:r/>
      <w:hyperlink r:id="rId12">
        <w:r>
          <w:rPr>
            <w:color w:val="0000EE"/>
            <w:u w:val="single"/>
          </w:rPr>
          <w:t>https://www.avepoint.com/blog/protect/eu-ai-act-compliance-101-obligations-risks-and-best-practices-for-eu-and-global-organizations</w:t>
        </w:r>
      </w:hyperlink>
      <w:r>
        <w:t xml:space="preserve"> - AvePoint's article provides a comprehensive guide to the EU AI Act, detailing obligations, risks, and best practices for organisations. It outlines the Act's risk-based classification system, categorising AI systems into unacceptable, high, limited, and minimal risk levels. The article emphasises the need for organisations to establish risk management systems, robust data governance, and transparency and explainability in AI systems. It also highlights the importance of accuracy, robustness, and cybersecurity in high-risk AI systems. The piece serves as a practical resource for organisations seeking to navigate the complexities of AI compliance under the Act.</w:t>
      </w:r>
      <w:r/>
    </w:p>
    <w:p>
      <w:pPr>
        <w:pStyle w:val="ListNumber"/>
        <w:spacing w:line="240" w:lineRule="auto"/>
        <w:ind w:left="720"/>
      </w:pPr>
      <w:r/>
      <w:hyperlink r:id="rId14">
        <w:r>
          <w:rPr>
            <w:color w:val="0000EE"/>
            <w:u w:val="single"/>
          </w:rPr>
          <w:t>https://arxiv.org/abs/2501.04014</w:t>
        </w:r>
      </w:hyperlink>
      <w:r>
        <w:t xml:space="preserve"> - The paper introduces AICat, an extension of the Data Catalogue vocabulary Application Profile (DCAT-AP), designed to support the EU AI Act by representing catalogues of AI systems. AICat provides consistency, machine-readability, searchability, and interoperability in managing open metadata regarding AI systems. This open approach to cataloguing ensures transparency, traceability, and accountability in AI application markets beyond the immediate needs of high-risk AI compliance in the EU. The paper discusses the relevance of ISO/IEC and IEEE standards, focusing on risk management, data quality, bias mitigation, and governance, and proposes AICat as a solution for managing AI system information in compliance with the Act.</w:t>
      </w:r>
      <w:r/>
    </w:p>
    <w:p>
      <w:pPr>
        <w:pStyle w:val="ListNumber"/>
        <w:spacing w:line="240" w:lineRule="auto"/>
        <w:ind w:left="720"/>
      </w:pPr>
      <w:r/>
      <w:hyperlink r:id="rId15">
        <w:r>
          <w:rPr>
            <w:color w:val="0000EE"/>
            <w:u w:val="single"/>
          </w:rPr>
          <w:t>https://en.wikipedia.org/wiki/General-Purpose_AI_Code_of_Practice</w:t>
        </w:r>
      </w:hyperlink>
      <w:r>
        <w:t xml:space="preserve"> - The General-Purpose AI Code of Practice (GPAI CoP) is a voluntary tool released by the European Commission on 10 July 2025 to support compliance with the European Union Artificial Intelligence Act (AI Act). It provides operational guidance for providers of general-purpose AI models, particularly in relation to Articles 53 and 55 of the AI Act, which entered into application on 2 August 2025. The Code is organised into three chapters (Transparency, Copyright, and Safety and Security) and outlines how providers can meet the Act's relevant obligations. Although non-binding, providers can rely on adherence to the Code, meaning that EU regulators will assume that providers following the Code meet the corresponding legal requirements of the AI Act.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gamingboardroom.com/2026/02/10/the-eu-ai-act-what-it-really-means-for-organisations-on-the-ground/" TargetMode="External"/><Relationship Id="rId10" Type="http://schemas.openxmlformats.org/officeDocument/2006/relationships/hyperlink" Target="https://www.europarl.europa.eu/topics/en/article/20230601STO93804/eu-ai" TargetMode="External"/><Relationship Id="rId11" Type="http://schemas.openxmlformats.org/officeDocument/2006/relationships/hyperlink" Target="https://digital-strategy.ec.europa.eu/en/policies/regulatory-framework-ai" TargetMode="External"/><Relationship Id="rId12" Type="http://schemas.openxmlformats.org/officeDocument/2006/relationships/hyperlink" Target="https://www.avepoint.com/blog/protect/eu-ai-act-compliance-101-obligations-risks-and-best-practices-for-eu-and-global-organizations" TargetMode="External"/><Relationship Id="rId13" Type="http://schemas.openxmlformats.org/officeDocument/2006/relationships/hyperlink" Target="https://arxiv.org/abs/2503.18994" TargetMode="External"/><Relationship Id="rId14" Type="http://schemas.openxmlformats.org/officeDocument/2006/relationships/hyperlink" Target="https://arxiv.org/abs/2501.04014" TargetMode="External"/><Relationship Id="rId15" Type="http://schemas.openxmlformats.org/officeDocument/2006/relationships/hyperlink" Target="https://en.wikipedia.org/wiki/General-Purpose_AI_Code_of_Practi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